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snapToGrid w:val="0"/>
        <w:spacing w:line="520" w:lineRule="exact"/>
        <w:ind w:leftChars="0"/>
        <w:jc w:val="left"/>
        <w:rPr>
          <w:rFonts w:hint="eastAsia" w:ascii="方正小标宋简体" w:hAnsi="宋体" w:eastAsia="方正小标宋简体" w:cs="Times New Roman"/>
          <w:sz w:val="32"/>
          <w:szCs w:val="32"/>
          <w:lang w:val="en-US" w:eastAsia="zh-CN"/>
        </w:rPr>
      </w:pPr>
      <w:bookmarkStart w:id="0" w:name="_GoBack"/>
      <w:bookmarkEnd w:id="0"/>
      <w:r>
        <w:rPr>
          <w:rFonts w:hint="eastAsia" w:ascii="方正小标宋简体" w:hAnsi="宋体" w:eastAsia="方正小标宋简体" w:cs="Times New Roman"/>
          <w:sz w:val="32"/>
          <w:szCs w:val="32"/>
          <w:lang w:val="en-US" w:eastAsia="zh-CN"/>
        </w:rPr>
        <w:t>附件</w:t>
      </w:r>
    </w:p>
    <w:p>
      <w:pPr>
        <w:snapToGrid w:val="0"/>
        <w:spacing w:line="520" w:lineRule="exact"/>
        <w:jc w:val="center"/>
        <w:rPr>
          <w:rFonts w:hint="eastAsia" w:ascii="方正小标宋简体" w:hAnsi="宋体" w:eastAsia="方正小标宋简体" w:cs="Times New Roman"/>
          <w:sz w:val="32"/>
          <w:szCs w:val="32"/>
        </w:rPr>
      </w:pPr>
    </w:p>
    <w:p>
      <w:pPr>
        <w:snapToGrid w:val="0"/>
        <w:spacing w:line="520" w:lineRule="exact"/>
        <w:jc w:val="center"/>
        <w:rPr>
          <w:rFonts w:hint="eastAsia" w:ascii="方正小标宋简体" w:hAnsi="宋体" w:eastAsia="方正小标宋简体" w:cs="Times New Roman"/>
          <w:sz w:val="36"/>
          <w:szCs w:val="36"/>
        </w:rPr>
      </w:pPr>
      <w:r>
        <w:rPr>
          <w:rFonts w:hint="eastAsia" w:ascii="方正小标宋简体" w:hAnsi="宋体" w:eastAsia="方正小标宋简体" w:cs="Times New Roman"/>
          <w:sz w:val="36"/>
          <w:szCs w:val="36"/>
        </w:rPr>
        <w:t>佛山科学技术学院行政固定资产管理实施细则</w:t>
      </w:r>
    </w:p>
    <w:p>
      <w:pPr>
        <w:pStyle w:val="16"/>
        <w:spacing w:before="0" w:beforeAutospacing="0" w:after="0" w:afterAutospacing="0"/>
        <w:ind w:firstLine="640"/>
        <w:jc w:val="both"/>
        <w:rPr>
          <w:rFonts w:hint="eastAsia" w:ascii="仿宋_GB2312" w:hAnsi="宋体"/>
          <w:iCs w:val="0"/>
          <w:color w:val="auto"/>
          <w:szCs w:val="32"/>
        </w:rPr>
      </w:pP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根据《佛山科学技术学院国有资产管理办法（试行）》的规定，结合我校固定资产管理中的具体操作方法，特制定本实施细则。</w:t>
      </w:r>
    </w:p>
    <w:p>
      <w:pPr>
        <w:pStyle w:val="16"/>
        <w:spacing w:before="0" w:beforeAutospacing="0" w:after="0" w:afterAutospacing="0"/>
        <w:ind w:firstLine="640"/>
        <w:jc w:val="both"/>
        <w:rPr>
          <w:rFonts w:hint="eastAsia" w:ascii="黑体" w:hAnsi="黑体" w:eastAsia="黑体"/>
          <w:iCs w:val="0"/>
          <w:color w:val="auto"/>
          <w:szCs w:val="32"/>
        </w:rPr>
      </w:pPr>
      <w:r>
        <w:rPr>
          <w:rFonts w:hint="eastAsia" w:ascii="黑体" w:hAnsi="黑体" w:eastAsia="黑体"/>
          <w:iCs w:val="0"/>
          <w:color w:val="auto"/>
          <w:szCs w:val="32"/>
        </w:rPr>
        <w:t>一、管理体制</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1.行政固定资产的管理和使用，必须贯彻“统一领导、归口管理、分级负责、责任到人、合理调配、管用结合、物尽其用”的原则，实行由分管校长领导下，国有资产管理处统一归口管理，学校、学院（部门）二级管理，责任到人的体制。</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2.国有资产管理处负责行政固定资产管理及监督检查工作。建立其总账、分户账、明细账；督促使用部门做好资产的验收入账工作，办理资产的调剂、报损、报失、报废、改装、拆除等工作；检查、评估资产日常维护情况和使用效益；定期进行资产账、物的核对并及时对固定资产的存量、分布、增减情况进行登记，做到账账、账物相符。</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3.计划财务处负责全校行政固定资产金额的核算。每年年终由国有资产管理处提供本年行政固定资产入账金额与计划财务处对账，做到账账相符，对出现的差额应及时查明原因进行调整。</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4.各学院、各部门应配备固定资产兼职管理员，负责本部门固定资产的管理，管理人员对所管固定资产负有全部责任。要保持管理人员的相对稳定，以保证各项管理措施的落实。管理人员工作调动时，应办理交接手续。任何人未经管理人员同意，不得擅自动用、移动和拆卸固定资产。</w:t>
      </w:r>
    </w:p>
    <w:p>
      <w:pPr>
        <w:pStyle w:val="16"/>
        <w:spacing w:before="0" w:beforeAutospacing="0" w:after="0" w:afterAutospacing="0"/>
        <w:ind w:firstLine="640"/>
        <w:jc w:val="both"/>
        <w:rPr>
          <w:rFonts w:hint="eastAsia" w:ascii="黑体" w:hAnsi="黑体" w:eastAsia="黑体"/>
          <w:iCs w:val="0"/>
          <w:color w:val="auto"/>
          <w:szCs w:val="32"/>
        </w:rPr>
      </w:pPr>
      <w:r>
        <w:rPr>
          <w:rFonts w:hint="eastAsia" w:ascii="黑体" w:hAnsi="黑体" w:eastAsia="黑体"/>
          <w:iCs w:val="0"/>
          <w:color w:val="auto"/>
          <w:szCs w:val="32"/>
        </w:rPr>
        <w:t>二、行政固定资产的管理范围</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1.国有土地；</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2.建筑物（房屋）和构筑物（运动场、桥梁、道路等）；</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3.车辆；</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4.行政办公设备：单价在1000元（含1000元）以上，耐用期在一年以上，并能在原有状态下独立使用的行政办公、生活后勤等通用设备；</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5.家具：批量购置1000元以上，且耐用期在一年以上的大批同类家具；</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6.无形资产：包含单价在1000元（含1000元）以上的行政管理软件。</w:t>
      </w:r>
    </w:p>
    <w:p>
      <w:pPr>
        <w:pStyle w:val="16"/>
        <w:spacing w:before="0" w:beforeAutospacing="0" w:after="0" w:afterAutospacing="0"/>
        <w:ind w:firstLine="640"/>
        <w:jc w:val="both"/>
        <w:rPr>
          <w:rFonts w:hint="eastAsia" w:ascii="黑体" w:hAnsi="黑体" w:eastAsia="黑体"/>
          <w:iCs w:val="0"/>
          <w:color w:val="auto"/>
          <w:szCs w:val="32"/>
        </w:rPr>
      </w:pPr>
      <w:r>
        <w:rPr>
          <w:rFonts w:hint="eastAsia" w:ascii="黑体" w:hAnsi="黑体" w:eastAsia="黑体"/>
          <w:iCs w:val="0"/>
          <w:color w:val="auto"/>
          <w:szCs w:val="32"/>
        </w:rPr>
        <w:t>三、行政固定资产的验收</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1.行政固定资产须经过验收合格方能报增入账：</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1）房屋、构筑物的验收：由基建处按基建验收程序进行，根据图纸要求，对土建质量、水电安装质量等进行全面检查，不合要求者，由基建部门督促施工单位返工，验收合格后向房屋、构筑物的管理及使用部门办理移交手续，按规定建立行政固定资产账并提交房屋及构筑物平面图、管道电气图等资料。对投入使用超过三个月仍不能做出工程决算的，按工程概算数入固定资产账，待决算完成后再作调整；</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2）办公家具的验收：合同金额10万元以下的由使用部门根据其特点进行验收，合同总价10万元以上（含10万元）的，由使用部门组织学校监督部门、资产主管部门进行验收。验收合格后，按规定登记固定资产账；</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3）行政设备的验收：合同总价10万元以下的行政设备，由使用单位自行验收；合同总价10万元以上（含10万元）的行政设备，由使用部门组织专家、供应商、使用部门组成验收组，并在学校监督部门参与下按照合同条款、仪器说明书、操作手册的规定对仪器设备的各类技术指标，逐项进行各种参数的测试，检查其性能指标是否与合同、说明书相符，并考核设备运行的稳定性、可靠性。技术验收相关的安装、调试、测试等原始记录材料须认真保存，填写验收报告。如发现货不对板、损坏或质量有问题，应由使用部门与供应商联系解决，验收合格后，按规定登记行政固定资产账。</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参加验收人员的组成：在学校监督部门的参与下，合同总价10万元以上300万元以下的设备，由使用部门组织聘请校内专家进行验收；合同总价300万元以上的设备，需聘请校外专家（聘请人数视实际情况而定）参加验收。</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2.验收专家酬金：按照学校人力资源处有关专家酬金的规定执行。</w:t>
      </w:r>
    </w:p>
    <w:p>
      <w:pPr>
        <w:pStyle w:val="16"/>
        <w:spacing w:before="0" w:beforeAutospacing="0" w:after="0" w:afterAutospacing="0"/>
        <w:ind w:firstLine="640"/>
        <w:jc w:val="both"/>
        <w:rPr>
          <w:rFonts w:hint="eastAsia" w:ascii="黑体" w:hAnsi="黑体" w:eastAsia="黑体"/>
          <w:iCs w:val="0"/>
          <w:color w:val="auto"/>
          <w:szCs w:val="32"/>
        </w:rPr>
      </w:pPr>
      <w:r>
        <w:rPr>
          <w:rFonts w:hint="eastAsia" w:ascii="黑体" w:hAnsi="黑体" w:eastAsia="黑体"/>
          <w:iCs w:val="0"/>
          <w:color w:val="auto"/>
          <w:szCs w:val="32"/>
        </w:rPr>
        <w:t>四、行政固定资产的报增和减少</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1.新增行政固定资产按实际支付的买价、税金以及安装费、运杂费、保险费、车辆购置税等记入固定资产总值。无偿调入或赠送给我校的固定资产参考市场价格登记入账。</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2.有下列情况之一者，应按规定的程序办理记账手续，增减行政固定资产原值：</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（1）原有固定资产因提高质量改制或扩展功能而增加附件，按实际开支增加其原值；</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（2）成套设备因损坏或其它原因拆除其中一部分时，应减少其原值；</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（3）已列入固定资产的房屋和构筑物，扩建、改建、特殊要求的装修或部分拆除，应分别增减其原值。</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3.新增行政固定资产（包括购买、赠送、调入等），由各部门资产管理人员依据验收结果在学校行政固定资产管理系统填制报增单，提交国有资产管理处审核、记账后，才能到计划财务处办理报账手续。否则，财务部门不予受理。</w:t>
      </w:r>
    </w:p>
    <w:p>
      <w:pPr>
        <w:pStyle w:val="16"/>
        <w:spacing w:before="0" w:beforeAutospacing="0" w:after="0" w:afterAutospacing="0"/>
        <w:ind w:firstLine="640"/>
        <w:jc w:val="both"/>
        <w:rPr>
          <w:rFonts w:hint="eastAsia" w:ascii="黑体" w:hAnsi="黑体" w:eastAsia="黑体"/>
          <w:iCs w:val="0"/>
          <w:color w:val="auto"/>
          <w:szCs w:val="32"/>
        </w:rPr>
      </w:pPr>
      <w:r>
        <w:rPr>
          <w:rFonts w:hint="eastAsia" w:ascii="黑体" w:hAnsi="黑体" w:eastAsia="黑体"/>
          <w:iCs w:val="0"/>
          <w:color w:val="auto"/>
          <w:szCs w:val="32"/>
        </w:rPr>
        <w:t>五、行政固定资产的借用</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1.校内各部门借用行政固定资产，由借用部门出具借条，由经办人直接向借出部门洽借。所借固定资产应爱护使用，及时归还，若有损坏应负责修复或赔偿。固定资产保管人员未经部门负责人批准，不得擅自出借固定资产和擅自把固定资产带出所在场所。</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2.固定资产原则上不外借，特殊情况必须经分管校领导批准，才能借用，按学校规定收取借用费，借用期限一般不超过15天。凡已安装的固定资产一律不外借。</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3.外单位借用固定资产，必须携带单位证明或正式介绍信，在确证无疑后，由借出部门向国有资产管理处提出申请，并获得分管校领导同意后，才办理借用手续。各使用部门不得擅自向校外单位出借。</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4.各部门的资产管理人员必须向借用单位人员交待固定资产的完好状态和注意事项，归还时必须认真检查验收，若有损坏，借用单位必须负责修复或赔偿。</w:t>
      </w:r>
    </w:p>
    <w:p>
      <w:pPr>
        <w:pStyle w:val="16"/>
        <w:spacing w:before="0" w:beforeAutospacing="0" w:after="0" w:afterAutospacing="0"/>
        <w:ind w:firstLine="640"/>
        <w:jc w:val="both"/>
        <w:rPr>
          <w:rFonts w:hint="eastAsia" w:ascii="黑体" w:hAnsi="黑体" w:eastAsia="黑体"/>
          <w:iCs w:val="0"/>
          <w:color w:val="auto"/>
          <w:szCs w:val="32"/>
        </w:rPr>
      </w:pPr>
      <w:r>
        <w:rPr>
          <w:rFonts w:hint="eastAsia" w:ascii="黑体" w:hAnsi="黑体" w:eastAsia="黑体"/>
          <w:iCs w:val="0"/>
          <w:color w:val="auto"/>
          <w:szCs w:val="32"/>
        </w:rPr>
        <w:t>六、行政固定资产的内部调剂</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1.校内行政固定资产需要平衡调剂时，属部门内部调配的由主管负责人决定。部门与部门之间、学院与学院之间的调剂由国有资产管理处核定。以上平衡调剂，均须按规定经国有资产管理处办理调拨手续。</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2.各使用部门闲置、多余的行政固定资产，应及时报告，由国有资产管理处负责协调，在校内各部门之间调剂使用。对暂时调剂不了的固定资产，要注意保管，保证其完好性。</w:t>
      </w:r>
    </w:p>
    <w:p>
      <w:pPr>
        <w:pStyle w:val="16"/>
        <w:spacing w:before="0" w:beforeAutospacing="0" w:after="0" w:afterAutospacing="0"/>
        <w:ind w:firstLine="640"/>
        <w:jc w:val="both"/>
        <w:rPr>
          <w:rFonts w:hint="eastAsia" w:ascii="黑体" w:hAnsi="黑体" w:eastAsia="黑体"/>
          <w:iCs w:val="0"/>
          <w:color w:val="auto"/>
          <w:szCs w:val="32"/>
        </w:rPr>
      </w:pPr>
      <w:r>
        <w:rPr>
          <w:rFonts w:hint="eastAsia" w:ascii="黑体" w:hAnsi="黑体" w:eastAsia="黑体"/>
          <w:iCs w:val="0"/>
          <w:color w:val="auto"/>
          <w:szCs w:val="32"/>
        </w:rPr>
        <w:t>七、行政固定资产的处置</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1.固定资产处置包括报废、报损、捐赠等事项。对于达到使用年限、确已丧失使用价值，不能满足行政办公需求的，要按规定填写资产处置报告单，提交国有资产管理处汇总上报，申请报废。对于待报废的固定资产，使用部门应妥善保管，不能随意堆放在公共场所，如因保管不善而造成固定资产丢失的，要追究部门领导及当事人的责任，并给予经济处罚。</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2.如发现固定资产损坏、丢失、被盗等情况，使用部门应及时报告国有资产管理处或保卫处，国有资产管理处要及时了解情况，分清责任，并按有关规定要求赔偿。因工作失职造成严重损失的，应追究当事人及有关领导的责任。</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3.办理固定资产报损、报废的程序是：各部门根据资产使用年限、状况，通过资产管理系统提交处置报告单，经国有资产管理处审核后，打印处置报告单，由保管人、科室负责人、部门负责人签名，盖好公章，交回国有资产管理处汇总上报。处置报告单原则上每年提交两次，分别在6月份和11月份进行。国有资产管理处组织技术鉴定小组人员对报损资产进行鉴定后，报学校资产管理委员会批准。经批准后，由政府指定的评估机构对资产残值进行评估，公开拍卖，拍卖收益按收支两条线的原则上交学校。</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4.房屋、建筑物、土地、车辆无论账面原值大小，均需报佛山市财政局或佛山市人民政府审批。</w:t>
      </w:r>
    </w:p>
    <w:p>
      <w:pPr>
        <w:pStyle w:val="16"/>
        <w:spacing w:before="0" w:beforeAutospacing="0" w:after="0" w:afterAutospacing="0"/>
        <w:ind w:firstLine="640"/>
        <w:jc w:val="both"/>
        <w:rPr>
          <w:rFonts w:hint="eastAsia" w:ascii="仿宋_GB2312" w:hAnsi="宋体"/>
          <w:iCs w:val="0"/>
          <w:color w:val="auto"/>
          <w:szCs w:val="32"/>
        </w:rPr>
      </w:pPr>
      <w:r>
        <w:rPr>
          <w:rFonts w:hint="eastAsia" w:ascii="仿宋_GB2312" w:hAnsi="宋体"/>
          <w:iCs w:val="0"/>
          <w:color w:val="auto"/>
          <w:szCs w:val="32"/>
        </w:rPr>
        <w:t>5.资产处置鉴定专家酬金：按照学校人力资源处有关专家酬金的规定执行。</w:t>
      </w:r>
    </w:p>
    <w:p>
      <w:pPr>
        <w:pStyle w:val="16"/>
        <w:spacing w:before="0" w:beforeAutospacing="0" w:after="0" w:afterAutospacing="0"/>
        <w:ind w:firstLine="640"/>
        <w:jc w:val="both"/>
        <w:rPr>
          <w:rFonts w:hint="eastAsia" w:ascii="黑体" w:hAnsi="黑体" w:eastAsia="黑体"/>
          <w:iCs w:val="0"/>
          <w:color w:val="auto"/>
          <w:szCs w:val="32"/>
        </w:rPr>
      </w:pPr>
      <w:r>
        <w:rPr>
          <w:rFonts w:hint="eastAsia" w:ascii="黑体" w:hAnsi="黑体" w:eastAsia="黑体"/>
          <w:iCs w:val="0"/>
          <w:color w:val="auto"/>
          <w:szCs w:val="32"/>
        </w:rPr>
        <w:t>八、资产清查</w:t>
      </w:r>
    </w:p>
    <w:p>
      <w:pPr>
        <w:pStyle w:val="16"/>
        <w:spacing w:before="0" w:beforeAutospacing="0" w:after="0" w:afterAutospacing="0"/>
        <w:ind w:firstLine="640"/>
        <w:rPr>
          <w:rFonts w:hint="eastAsia" w:ascii="仿宋_GB2312" w:hAnsi="宋体"/>
          <w:iCs w:val="0"/>
          <w:color w:val="auto"/>
          <w:szCs w:val="32"/>
        </w:rPr>
      </w:pPr>
      <w:r>
        <w:rPr>
          <w:rFonts w:hint="eastAsia" w:ascii="仿宋_GB2312" w:hAnsi="宋体"/>
          <w:iCs w:val="0"/>
          <w:color w:val="auto"/>
          <w:szCs w:val="32"/>
        </w:rPr>
        <w:t>1.资产清查方式：学校统一清查、部门自查、全面清查、抽查等，采取何种方式，视具体实际需要情况而定。</w:t>
      </w:r>
    </w:p>
    <w:p>
      <w:pPr>
        <w:pStyle w:val="16"/>
        <w:spacing w:before="0" w:beforeAutospacing="0" w:after="0" w:afterAutospacing="0"/>
        <w:ind w:firstLine="640"/>
        <w:rPr>
          <w:rFonts w:hint="eastAsia" w:ascii="仿宋_GB2312" w:hAnsi="宋体"/>
          <w:iCs w:val="0"/>
          <w:color w:val="auto"/>
          <w:szCs w:val="32"/>
        </w:rPr>
      </w:pPr>
      <w:r>
        <w:rPr>
          <w:rFonts w:hint="eastAsia" w:ascii="仿宋_GB2312" w:hAnsi="宋体"/>
          <w:iCs w:val="0"/>
          <w:color w:val="auto"/>
          <w:szCs w:val="32"/>
        </w:rPr>
        <w:t>2.有以下情况必须进行资产清查：机构调整、人员变动、办公地点改变。会计政策发生重大更改，涉及固定资产核算方法发生重要变化时，也必须进行资产清查。</w:t>
      </w:r>
    </w:p>
    <w:p>
      <w:pPr>
        <w:pStyle w:val="16"/>
        <w:spacing w:before="0" w:beforeAutospacing="0" w:after="0" w:afterAutospacing="0"/>
        <w:ind w:firstLine="640"/>
        <w:rPr>
          <w:rFonts w:hint="eastAsia" w:ascii="仿宋_GB2312" w:hAnsi="宋体"/>
          <w:iCs w:val="0"/>
          <w:color w:val="000000"/>
          <w:szCs w:val="32"/>
        </w:rPr>
      </w:pPr>
      <w:r>
        <w:rPr>
          <w:rFonts w:hint="eastAsia" w:ascii="仿宋_GB2312" w:hAnsi="宋体"/>
          <w:iCs w:val="0"/>
          <w:color w:val="auto"/>
          <w:szCs w:val="32"/>
        </w:rPr>
        <w:t>3.各部门每年应进行一次全面清产核资，半年进行一次重点抽查盘点，做好本部门行政设备、家具的使用管理和日常维护工作，确保账账、账物相符。</w:t>
      </w:r>
      <w:r>
        <w:rPr>
          <w:rFonts w:hint="eastAsia" w:ascii="仿宋_GB2312" w:hAnsi="仿宋_GB2312"/>
          <w:iCs w:val="0"/>
          <w:color w:val="000000"/>
          <w:szCs w:val="32"/>
        </w:rPr>
        <w:t>在固定资产清查过程中，如果发现盘盈、盘亏的固定资产，各部门应查明原因，填制固定资产盘盈盘亏报告表，及时向国有资产管理处报告，由国有资产管理处组织相关部门进行核查，分清责任，在两个月内汇总报计划财务处进行财务处理。</w:t>
      </w:r>
    </w:p>
    <w:p>
      <w:pPr>
        <w:pStyle w:val="16"/>
        <w:spacing w:before="0" w:beforeAutospacing="0" w:after="0" w:afterAutospacing="0"/>
        <w:ind w:firstLine="640"/>
        <w:rPr>
          <w:rFonts w:hint="eastAsia" w:ascii="黑体" w:hAnsi="黑体" w:eastAsia="黑体"/>
          <w:iCs w:val="0"/>
          <w:color w:val="auto"/>
          <w:szCs w:val="32"/>
        </w:rPr>
      </w:pPr>
      <w:r>
        <w:rPr>
          <w:rFonts w:hint="eastAsia" w:ascii="黑体" w:hAnsi="黑体" w:eastAsia="黑体"/>
          <w:iCs w:val="0"/>
          <w:color w:val="auto"/>
          <w:szCs w:val="32"/>
        </w:rPr>
        <w:t>九、利用学校固定资产对外服务</w:t>
      </w:r>
    </w:p>
    <w:p>
      <w:pPr>
        <w:pStyle w:val="16"/>
        <w:spacing w:before="0" w:beforeAutospacing="0" w:after="0" w:afterAutospacing="0"/>
        <w:ind w:firstLine="640"/>
        <w:rPr>
          <w:rFonts w:hint="eastAsia" w:ascii="仿宋_GB2312" w:hAnsi="宋体"/>
          <w:iCs w:val="0"/>
          <w:color w:val="auto"/>
          <w:szCs w:val="32"/>
        </w:rPr>
      </w:pPr>
      <w:r>
        <w:rPr>
          <w:rFonts w:hint="eastAsia" w:ascii="仿宋_GB2312" w:hAnsi="宋体"/>
          <w:iCs w:val="0"/>
          <w:color w:val="auto"/>
          <w:szCs w:val="32"/>
        </w:rPr>
        <w:t>1.利用学校固定资产对外服务及创收，必须坚持有偿使用原则，事先到管理部门办理有关手续；“非转经”(非经营性资产转经营性资产)必须提交报告，经相关部门讨论并报主管校长批准后，到国有资产管理处办理相关手续，并报上级财政部门批准。</w:t>
      </w:r>
    </w:p>
    <w:p>
      <w:pPr>
        <w:pStyle w:val="16"/>
        <w:spacing w:before="0" w:beforeAutospacing="0" w:after="0" w:afterAutospacing="0"/>
        <w:ind w:firstLine="640"/>
        <w:rPr>
          <w:rFonts w:hint="eastAsia" w:ascii="仿宋_GB2312" w:hAnsi="宋体"/>
          <w:iCs w:val="0"/>
          <w:color w:val="auto"/>
          <w:szCs w:val="32"/>
        </w:rPr>
      </w:pPr>
      <w:r>
        <w:rPr>
          <w:rFonts w:hint="eastAsia" w:ascii="仿宋_GB2312" w:hAnsi="宋体"/>
          <w:iCs w:val="0"/>
          <w:color w:val="auto"/>
          <w:szCs w:val="32"/>
        </w:rPr>
        <w:t>2.学校商铺、运动场馆等对外出租服务，由资产经营公司、后勤服务处等相关部门制定管理办法。</w:t>
      </w:r>
    </w:p>
    <w:p>
      <w:pPr>
        <w:pStyle w:val="16"/>
        <w:spacing w:before="0" w:beforeAutospacing="0" w:after="0" w:afterAutospacing="0"/>
        <w:ind w:firstLine="640"/>
        <w:rPr>
          <w:rFonts w:hint="eastAsia" w:ascii="黑体" w:hAnsi="黑体" w:eastAsia="黑体"/>
          <w:iCs w:val="0"/>
          <w:color w:val="auto"/>
          <w:szCs w:val="32"/>
        </w:rPr>
      </w:pPr>
      <w:r>
        <w:rPr>
          <w:rFonts w:hint="eastAsia" w:ascii="黑体" w:hAnsi="黑体" w:eastAsia="黑体"/>
          <w:iCs w:val="0"/>
          <w:color w:val="auto"/>
          <w:szCs w:val="32"/>
        </w:rPr>
        <w:t>十、附则</w:t>
      </w:r>
    </w:p>
    <w:p>
      <w:pPr>
        <w:pStyle w:val="16"/>
        <w:spacing w:before="0" w:beforeAutospacing="0" w:after="0" w:afterAutospacing="0"/>
        <w:ind w:firstLine="640"/>
        <w:rPr>
          <w:rFonts w:hint="eastAsia" w:ascii="仿宋_GB2312" w:hAnsi="宋体"/>
          <w:iCs w:val="0"/>
          <w:color w:val="auto"/>
          <w:szCs w:val="32"/>
        </w:rPr>
      </w:pPr>
      <w:r>
        <w:rPr>
          <w:rFonts w:hint="eastAsia" w:ascii="仿宋_GB2312" w:hAnsi="宋体"/>
          <w:iCs w:val="0"/>
          <w:color w:val="auto"/>
          <w:szCs w:val="32"/>
        </w:rPr>
        <w:t>本实施细则由国有资产管理处负责解释。 自发布之日起开始实施，以往有关规定与本办法有相抵触的，按本办法执行。</w:t>
      </w:r>
    </w:p>
    <w:p>
      <w:pPr>
        <w:pStyle w:val="16"/>
        <w:spacing w:before="0" w:beforeAutospacing="0" w:after="0" w:afterAutospacing="0"/>
        <w:ind w:firstLine="4800" w:firstLineChars="1500"/>
        <w:rPr>
          <w:rFonts w:hint="eastAsia" w:ascii="仿宋" w:hAnsi="仿宋" w:eastAsia="仿宋" w:cs="仿宋"/>
          <w:color w:val="auto"/>
        </w:rPr>
      </w:pPr>
      <w:r>
        <w:rPr>
          <w:rFonts w:hint="eastAsia" w:ascii="仿宋" w:hAnsi="仿宋" w:eastAsia="仿宋" w:cs="仿宋"/>
          <w:color w:val="auto"/>
        </w:rPr>
        <w:t>佛山科学技术学院</w:t>
      </w:r>
    </w:p>
    <w:p>
      <w:pPr>
        <w:pStyle w:val="16"/>
        <w:spacing w:before="0" w:beforeAutospacing="0" w:after="0" w:afterAutospacing="0"/>
        <w:ind w:firstLine="5120" w:firstLineChars="1600"/>
        <w:rPr>
          <w:rFonts w:hint="eastAsia" w:ascii="仿宋" w:hAnsi="仿宋" w:eastAsia="仿宋" w:cs="仿宋"/>
          <w:color w:val="auto"/>
        </w:rPr>
      </w:pPr>
      <w:r>
        <w:rPr>
          <w:rFonts w:hint="eastAsia" w:ascii="仿宋" w:hAnsi="仿宋" w:eastAsia="仿宋" w:cs="仿宋"/>
          <w:color w:val="auto"/>
        </w:rPr>
        <w:t>2018年9月6日</w:t>
      </w:r>
    </w:p>
    <w:p>
      <w:pPr>
        <w:pStyle w:val="16"/>
        <w:spacing w:before="0" w:beforeAutospacing="0" w:after="0" w:afterAutospacing="0"/>
        <w:ind w:firstLine="0" w:firstLineChars="0"/>
        <w:rPr>
          <w:rFonts w:hint="eastAsia" w:ascii="仿宋_GB2312" w:hAnsi="宋体"/>
          <w:iCs w:val="0"/>
          <w:color w:val="auto"/>
          <w:szCs w:val="32"/>
        </w:rPr>
      </w:pPr>
      <w:r>
        <w:rPr>
          <w:rFonts w:hint="eastAsia" w:ascii="仿宋_GB2312" w:hAnsi="宋体"/>
          <w:iCs w:val="0"/>
          <w:color w:val="auto"/>
          <w:szCs w:val="32"/>
        </w:rPr>
        <w:t>附件：1.行政固定资产报增流程；2.行政固定资产处置流程；</w:t>
      </w:r>
    </w:p>
    <w:p>
      <w:pPr>
        <w:ind w:left="1278" w:leftChars="456" w:hanging="320" w:hangingChars="100"/>
        <w:rPr>
          <w:rFonts w:hint="eastAsia" w:ascii="仿宋_GB2312" w:hAnsi="宋体"/>
          <w:iCs/>
          <w:szCs w:val="32"/>
        </w:rPr>
      </w:pPr>
      <w:r>
        <w:rPr>
          <w:rFonts w:hint="eastAsia" w:ascii="仿宋_GB2312" w:hAnsi="宋体" w:eastAsia="仿宋_GB2312"/>
          <w:sz w:val="32"/>
          <w:szCs w:val="32"/>
        </w:rPr>
        <w:t>3.行政固定资产盘盈盘亏处理流程；4.行政固定资产盘盈盘亏报告表</w:t>
      </w:r>
    </w:p>
    <w:p>
      <w:pPr>
        <w:pStyle w:val="16"/>
        <w:spacing w:before="0" w:beforeAutospacing="0" w:after="0" w:afterAutospacing="0"/>
        <w:ind w:firstLine="198" w:firstLineChars="62"/>
        <w:rPr>
          <w:rFonts w:hint="eastAsia" w:ascii="仿宋_GB2312" w:hAnsi="宋体"/>
          <w:iCs w:val="0"/>
          <w:color w:val="auto"/>
          <w:szCs w:val="32"/>
        </w:rPr>
        <w:sectPr>
          <w:footerReference r:id="rId3" w:type="default"/>
          <w:footerReference r:id="rId4" w:type="even"/>
          <w:pgSz w:w="11906" w:h="16838"/>
          <w:pgMar w:top="1440" w:right="1531" w:bottom="1440" w:left="1531" w:header="720" w:footer="720" w:gutter="0"/>
          <w:cols w:space="720" w:num="1"/>
          <w:docGrid w:type="lines" w:linePitch="312" w:charSpace="0"/>
        </w:sectPr>
      </w:pPr>
    </w:p>
    <w:p>
      <w:pPr>
        <w:rPr>
          <w:rFonts w:hint="eastAsia" w:ascii="黑体" w:hAnsi="黑体" w:eastAsia="黑体" w:cs="宋体"/>
          <w:sz w:val="32"/>
          <w:szCs w:val="32"/>
        </w:rPr>
      </w:pPr>
      <w:r>
        <w:rPr>
          <w:rFonts w:hint="eastAsia" w:ascii="黑体" w:hAnsi="黑体" w:eastAsia="黑体" w:cs="仿宋"/>
          <w:sz w:val="32"/>
          <w:szCs w:val="32"/>
        </w:rPr>
        <w:t>附件</w:t>
      </w:r>
      <w:r>
        <w:rPr>
          <w:rFonts w:hint="eastAsia" w:ascii="黑体" w:hAnsi="黑体" w:eastAsia="黑体" w:cs="宋体"/>
          <w:sz w:val="32"/>
          <w:szCs w:val="32"/>
        </w:rPr>
        <w:t>1</w:t>
      </w: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rPr>
        <w:t>行政固定资产报增流程</w:t>
      </w:r>
    </w:p>
    <w:tbl>
      <w:tblPr>
        <w:tblStyle w:val="7"/>
        <w:tblpPr w:leftFromText="180" w:rightFromText="180" w:vertAnchor="text" w:horzAnchor="page" w:tblpX="3753" w:tblpY="738"/>
        <w:tblOverlap w:val="never"/>
        <w:tblW w:w="4897" w:type="dxa"/>
        <w:tblInd w:w="0" w:type="dxa"/>
        <w:tblLayout w:type="fixed"/>
        <w:tblCellMar>
          <w:top w:w="0" w:type="dxa"/>
          <w:left w:w="108" w:type="dxa"/>
          <w:bottom w:w="0" w:type="dxa"/>
          <w:right w:w="108" w:type="dxa"/>
        </w:tblCellMar>
      </w:tblPr>
      <w:tblGrid>
        <w:gridCol w:w="4897"/>
      </w:tblGrid>
      <w:tr>
        <w:tblPrEx>
          <w:tblLayout w:type="fixed"/>
          <w:tblCellMar>
            <w:top w:w="0" w:type="dxa"/>
            <w:left w:w="108" w:type="dxa"/>
            <w:bottom w:w="0" w:type="dxa"/>
            <w:right w:w="108" w:type="dxa"/>
          </w:tblCellMar>
        </w:tblPrEx>
        <w:trPr>
          <w:trHeight w:val="330"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根据购货合同书和发票</w:t>
            </w:r>
          </w:p>
        </w:tc>
      </w:tr>
      <w:tr>
        <w:tblPrEx>
          <w:tblLayout w:type="fixed"/>
          <w:tblCellMar>
            <w:top w:w="0" w:type="dxa"/>
            <w:left w:w="108" w:type="dxa"/>
            <w:bottom w:w="0" w:type="dxa"/>
            <w:right w:w="108" w:type="dxa"/>
          </w:tblCellMar>
        </w:tblPrEx>
        <w:trPr>
          <w:trHeight w:val="270" w:hRule="atLeast"/>
        </w:trPr>
        <w:tc>
          <w:tcPr>
            <w:tcW w:w="4897"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部门资产管理员登陆行政资产管理系统</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按照系统格式填制资产报增单</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3"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保存、提交</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349"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将购货合同书和发票交国有资产管理处审核</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打印报增单</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有关经办人、部门负责人签名确认</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打印标签</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6"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标签粘贴</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计财处办理报账付款手续</w:t>
            </w:r>
          </w:p>
        </w:tc>
      </w:tr>
    </w:tbl>
    <w:p>
      <w:pPr>
        <w:rPr>
          <w:rFonts w:hint="eastAsia" w:ascii="仿宋" w:hAnsi="仿宋" w:eastAsia="仿宋" w:cs="仿宋"/>
          <w:b/>
          <w:sz w:val="32"/>
          <w:szCs w:val="32"/>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黑体" w:hAnsi="黑体" w:eastAsia="黑体" w:cs="宋体"/>
          <w:sz w:val="32"/>
          <w:szCs w:val="32"/>
        </w:rPr>
      </w:pPr>
      <w:r>
        <w:rPr>
          <w:rFonts w:hint="eastAsia" w:ascii="仿宋" w:hAnsi="仿宋" w:eastAsia="仿宋" w:cs="仿宋"/>
          <w:sz w:val="24"/>
          <w:szCs w:val="24"/>
        </w:rPr>
        <w:br w:type="page"/>
      </w:r>
      <w:r>
        <w:rPr>
          <w:rFonts w:hint="eastAsia" w:ascii="黑体" w:hAnsi="黑体" w:eastAsia="黑体" w:cs="仿宋"/>
          <w:sz w:val="32"/>
          <w:szCs w:val="32"/>
        </w:rPr>
        <w:t>附件</w:t>
      </w:r>
      <w:r>
        <w:rPr>
          <w:rFonts w:hint="eastAsia" w:ascii="黑体" w:hAnsi="黑体" w:eastAsia="黑体" w:cs="宋体"/>
          <w:sz w:val="32"/>
          <w:szCs w:val="32"/>
        </w:rPr>
        <w:t>2</w:t>
      </w:r>
    </w:p>
    <w:p>
      <w:pPr>
        <w:jc w:val="center"/>
        <w:rPr>
          <w:rFonts w:hint="eastAsia" w:ascii="方正小标宋简体" w:hAnsi="仿宋" w:eastAsia="方正小标宋简体" w:cs="仿宋"/>
          <w:sz w:val="36"/>
          <w:szCs w:val="36"/>
        </w:rPr>
      </w:pPr>
      <w:r>
        <w:rPr>
          <w:rFonts w:hint="eastAsia" w:ascii="方正小标宋简体" w:hAnsi="宋体" w:eastAsia="方正小标宋简体" w:cs="宋体"/>
          <w:sz w:val="36"/>
          <w:szCs w:val="36"/>
        </w:rPr>
        <w:t>行政固定资产报废流程</w:t>
      </w:r>
    </w:p>
    <w:tbl>
      <w:tblPr>
        <w:tblStyle w:val="7"/>
        <w:tblpPr w:leftFromText="180" w:rightFromText="180" w:vertAnchor="text" w:horzAnchor="page" w:tblpX="4057" w:tblpY="256"/>
        <w:tblOverlap w:val="never"/>
        <w:tblW w:w="4485" w:type="dxa"/>
        <w:tblInd w:w="0" w:type="dxa"/>
        <w:tblLayout w:type="fixed"/>
        <w:tblCellMar>
          <w:top w:w="0" w:type="dxa"/>
          <w:left w:w="108" w:type="dxa"/>
          <w:bottom w:w="0" w:type="dxa"/>
          <w:right w:w="108" w:type="dxa"/>
        </w:tblCellMar>
      </w:tblPr>
      <w:tblGrid>
        <w:gridCol w:w="4485"/>
      </w:tblGrid>
      <w:tr>
        <w:tblPrEx>
          <w:tblLayout w:type="fixed"/>
          <w:tblCellMar>
            <w:top w:w="0" w:type="dxa"/>
            <w:left w:w="108" w:type="dxa"/>
            <w:bottom w:w="0" w:type="dxa"/>
            <w:right w:w="108" w:type="dxa"/>
          </w:tblCellMar>
        </w:tblPrEx>
        <w:trPr>
          <w:trHeight w:val="330"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评价资产使用状况</w:t>
            </w:r>
          </w:p>
        </w:tc>
      </w:tr>
      <w:tr>
        <w:tblPrEx>
          <w:tblLayout w:type="fixed"/>
          <w:tblCellMar>
            <w:top w:w="0" w:type="dxa"/>
            <w:left w:w="108" w:type="dxa"/>
            <w:bottom w:w="0" w:type="dxa"/>
            <w:right w:w="108" w:type="dxa"/>
          </w:tblCellMar>
        </w:tblPrEx>
        <w:trPr>
          <w:trHeight w:val="270" w:hRule="atLeast"/>
        </w:trPr>
        <w:tc>
          <w:tcPr>
            <w:tcW w:w="4485"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对照资产使用年限</w:t>
            </w:r>
          </w:p>
        </w:tc>
      </w:tr>
      <w:tr>
        <w:tblPrEx>
          <w:tblLayout w:type="fixed"/>
          <w:tblCellMar>
            <w:top w:w="0" w:type="dxa"/>
            <w:left w:w="108" w:type="dxa"/>
            <w:bottom w:w="0" w:type="dxa"/>
            <w:right w:w="108" w:type="dxa"/>
          </w:tblCellMar>
        </w:tblPrEx>
        <w:trPr>
          <w:trHeight w:val="285" w:hRule="atLeast"/>
        </w:trPr>
        <w:tc>
          <w:tcPr>
            <w:tcW w:w="4485"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部门资产管理员登陆行政资产管理系统</w:t>
            </w:r>
          </w:p>
        </w:tc>
      </w:tr>
      <w:tr>
        <w:tblPrEx>
          <w:tblLayout w:type="fixed"/>
          <w:tblCellMar>
            <w:top w:w="0" w:type="dxa"/>
            <w:left w:w="108" w:type="dxa"/>
            <w:bottom w:w="0" w:type="dxa"/>
            <w:right w:w="108" w:type="dxa"/>
          </w:tblCellMar>
        </w:tblPrEx>
        <w:trPr>
          <w:trHeight w:val="285" w:hRule="atLeast"/>
        </w:trPr>
        <w:tc>
          <w:tcPr>
            <w:tcW w:w="4485" w:type="dxa"/>
            <w:tcBorders>
              <w:top w:val="nil"/>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312"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按照系统格式填制资产处置单</w:t>
            </w:r>
          </w:p>
        </w:tc>
      </w:tr>
      <w:tr>
        <w:tblPrEx>
          <w:tblLayout w:type="fixed"/>
          <w:tblCellMar>
            <w:top w:w="0" w:type="dxa"/>
            <w:left w:w="108" w:type="dxa"/>
            <w:bottom w:w="0" w:type="dxa"/>
            <w:right w:w="108" w:type="dxa"/>
          </w:tblCellMar>
        </w:tblPrEx>
        <w:trPr>
          <w:trHeight w:val="285" w:hRule="atLeast"/>
        </w:trPr>
        <w:tc>
          <w:tcPr>
            <w:tcW w:w="4485" w:type="dxa"/>
            <w:tcBorders>
              <w:top w:val="nil"/>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5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保存、提交</w:t>
            </w:r>
          </w:p>
        </w:tc>
      </w:tr>
      <w:tr>
        <w:tblPrEx>
          <w:tblLayout w:type="fixed"/>
          <w:tblCellMar>
            <w:top w:w="0" w:type="dxa"/>
            <w:left w:w="108" w:type="dxa"/>
            <w:bottom w:w="0" w:type="dxa"/>
            <w:right w:w="108" w:type="dxa"/>
          </w:tblCellMar>
        </w:tblPrEx>
        <w:trPr>
          <w:trHeight w:val="285" w:hRule="atLeast"/>
        </w:trPr>
        <w:tc>
          <w:tcPr>
            <w:tcW w:w="4485"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国有资产管理处审核</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打印资产处置单</w:t>
            </w:r>
          </w:p>
        </w:tc>
      </w:tr>
      <w:tr>
        <w:tblPrEx>
          <w:tblLayout w:type="fixed"/>
          <w:tblCellMar>
            <w:top w:w="0" w:type="dxa"/>
            <w:left w:w="108" w:type="dxa"/>
            <w:bottom w:w="0" w:type="dxa"/>
            <w:right w:w="108" w:type="dxa"/>
          </w:tblCellMar>
        </w:tblPrEx>
        <w:trPr>
          <w:trHeight w:val="285" w:hRule="atLeast"/>
        </w:trPr>
        <w:tc>
          <w:tcPr>
            <w:tcW w:w="4485" w:type="dxa"/>
            <w:tcBorders>
              <w:top w:val="nil"/>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部门保管人、负责人签名、盖公章</w:t>
            </w:r>
          </w:p>
        </w:tc>
      </w:tr>
      <w:tr>
        <w:tblPrEx>
          <w:tblLayout w:type="fixed"/>
          <w:tblCellMar>
            <w:top w:w="0" w:type="dxa"/>
            <w:left w:w="108" w:type="dxa"/>
            <w:bottom w:w="0" w:type="dxa"/>
            <w:right w:w="108" w:type="dxa"/>
          </w:tblCellMar>
        </w:tblPrEx>
        <w:trPr>
          <w:trHeight w:val="285" w:hRule="atLeast"/>
        </w:trPr>
        <w:tc>
          <w:tcPr>
            <w:tcW w:w="4485"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国有资产处整理汇总</w:t>
            </w:r>
          </w:p>
        </w:tc>
      </w:tr>
      <w:tr>
        <w:tblPrEx>
          <w:tblLayout w:type="fixed"/>
          <w:tblCellMar>
            <w:top w:w="0" w:type="dxa"/>
            <w:left w:w="108" w:type="dxa"/>
            <w:bottom w:w="0" w:type="dxa"/>
            <w:right w:w="108" w:type="dxa"/>
          </w:tblCellMar>
        </w:tblPrEx>
        <w:trPr>
          <w:trHeight w:val="285" w:hRule="atLeast"/>
        </w:trPr>
        <w:tc>
          <w:tcPr>
            <w:tcW w:w="4485"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学校审批</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市财政局和市政府批准</w:t>
            </w:r>
          </w:p>
        </w:tc>
      </w:tr>
      <w:tr>
        <w:tblPrEx>
          <w:tblLayout w:type="fixed"/>
          <w:tblCellMar>
            <w:top w:w="0" w:type="dxa"/>
            <w:left w:w="108" w:type="dxa"/>
            <w:bottom w:w="0" w:type="dxa"/>
            <w:right w:w="108" w:type="dxa"/>
          </w:tblCellMar>
        </w:tblPrEx>
        <w:trPr>
          <w:trHeight w:val="285" w:hRule="atLeast"/>
        </w:trPr>
        <w:tc>
          <w:tcPr>
            <w:tcW w:w="4485"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政府指定的第三方机构进行</w:t>
            </w:r>
          </w:p>
          <w:p>
            <w:pPr>
              <w:widowControl/>
              <w:jc w:val="center"/>
              <w:rPr>
                <w:rFonts w:hint="eastAsia" w:ascii="仿宋" w:hAnsi="仿宋" w:eastAsia="仿宋" w:cs="仿宋"/>
                <w:kern w:val="0"/>
                <w:sz w:val="24"/>
                <w:szCs w:val="24"/>
              </w:rPr>
            </w:pPr>
            <w:r>
              <w:rPr>
                <w:rFonts w:hint="eastAsia" w:ascii="仿宋" w:hAnsi="仿宋" w:eastAsia="仿宋" w:cs="仿宋"/>
                <w:sz w:val="24"/>
                <w:szCs w:val="24"/>
              </w:rPr>
              <w:t>资产残值评估</w:t>
            </w:r>
          </w:p>
        </w:tc>
      </w:tr>
      <w:tr>
        <w:tblPrEx>
          <w:tblLayout w:type="fixed"/>
          <w:tblCellMar>
            <w:top w:w="0" w:type="dxa"/>
            <w:left w:w="108" w:type="dxa"/>
            <w:bottom w:w="0" w:type="dxa"/>
            <w:right w:w="108" w:type="dxa"/>
          </w:tblCellMar>
        </w:tblPrEx>
        <w:trPr>
          <w:trHeight w:val="285" w:hRule="atLeast"/>
        </w:trPr>
        <w:tc>
          <w:tcPr>
            <w:tcW w:w="4485"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拍卖公司公开拍卖</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nil"/>
              <w:bottom w:val="single" w:color="auto" w:sz="4" w:space="0"/>
              <w:right w:val="nil"/>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资产清理</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nil"/>
              <w:bottom w:val="single" w:color="auto" w:sz="4" w:space="0"/>
              <w:right w:val="nil"/>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资产销账</w:t>
            </w:r>
          </w:p>
        </w:tc>
      </w:tr>
    </w:tbl>
    <w:p>
      <w:pPr>
        <w:rPr>
          <w:rFonts w:hint="eastAsia" w:ascii="仿宋" w:hAnsi="仿宋" w:eastAsia="仿宋" w:cs="仿宋"/>
          <w:b/>
          <w:sz w:val="32"/>
          <w:szCs w:val="32"/>
        </w:rPr>
      </w:pPr>
    </w:p>
    <w:p>
      <w:pPr>
        <w:ind w:firstLine="1890" w:firstLineChars="900"/>
        <w:rPr>
          <w:rFonts w:hint="eastAsia" w:ascii="仿宋" w:hAnsi="仿宋" w:eastAsia="仿宋" w:cs="仿宋"/>
        </w:rPr>
      </w:pPr>
    </w:p>
    <w:p>
      <w:pPr>
        <w:pStyle w:val="16"/>
        <w:spacing w:before="0" w:beforeAutospacing="0" w:after="0" w:afterAutospacing="0" w:line="240" w:lineRule="auto"/>
        <w:ind w:firstLine="0" w:firstLineChars="0"/>
        <w:rPr>
          <w:rFonts w:hint="eastAsia" w:ascii="仿宋" w:hAnsi="仿宋" w:eastAsia="仿宋" w:cs="仿宋"/>
          <w:color w:val="auto"/>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7733"/>
        </w:tabs>
        <w:jc w:val="left"/>
        <w:rPr>
          <w:rFonts w:hint="eastAsia"/>
        </w:rPr>
      </w:pPr>
      <w:r>
        <w:rPr>
          <w:rFonts w:hint="eastAsia"/>
        </w:rPr>
        <w:tab/>
      </w:r>
    </w:p>
    <w:p>
      <w:pPr>
        <w:tabs>
          <w:tab w:val="left" w:pos="7733"/>
        </w:tabs>
        <w:jc w:val="left"/>
        <w:rPr>
          <w:rFonts w:hint="eastAsia"/>
        </w:rPr>
      </w:pPr>
    </w:p>
    <w:p>
      <w:pPr>
        <w:tabs>
          <w:tab w:val="left" w:pos="7733"/>
        </w:tabs>
        <w:jc w:val="left"/>
        <w:rPr>
          <w:rFonts w:hint="eastAsia"/>
        </w:rPr>
      </w:pPr>
    </w:p>
    <w:p>
      <w:pPr>
        <w:tabs>
          <w:tab w:val="left" w:pos="7733"/>
        </w:tabs>
        <w:jc w:val="left"/>
        <w:rPr>
          <w:rFonts w:hint="eastAsia"/>
        </w:rPr>
      </w:pPr>
    </w:p>
    <w:p>
      <w:pPr>
        <w:tabs>
          <w:tab w:val="left" w:pos="7733"/>
        </w:tabs>
        <w:jc w:val="left"/>
        <w:rPr>
          <w:rFonts w:hint="eastAsia"/>
        </w:rPr>
      </w:pPr>
    </w:p>
    <w:p>
      <w:pPr>
        <w:tabs>
          <w:tab w:val="left" w:pos="7733"/>
        </w:tabs>
        <w:jc w:val="left"/>
        <w:rPr>
          <w:rFonts w:hint="eastAsia"/>
        </w:rPr>
      </w:pPr>
    </w:p>
    <w:p>
      <w:pPr>
        <w:tabs>
          <w:tab w:val="left" w:pos="7733"/>
        </w:tabs>
        <w:jc w:val="left"/>
        <w:rPr>
          <w:rFonts w:hint="eastAsia"/>
        </w:rPr>
      </w:pPr>
    </w:p>
    <w:p>
      <w:pPr>
        <w:tabs>
          <w:tab w:val="left" w:pos="7733"/>
        </w:tabs>
        <w:jc w:val="left"/>
        <w:rPr>
          <w:rFonts w:hint="eastAsia"/>
        </w:rPr>
      </w:pPr>
    </w:p>
    <w:p>
      <w:pPr>
        <w:tabs>
          <w:tab w:val="left" w:pos="7733"/>
        </w:tabs>
        <w:jc w:val="left"/>
        <w:rPr>
          <w:rFonts w:hint="eastAsia"/>
        </w:rPr>
      </w:pPr>
    </w:p>
    <w:p>
      <w:pPr>
        <w:rPr>
          <w:rFonts w:hint="eastAsia" w:ascii="黑体" w:hAnsi="黑体" w:eastAsia="黑体" w:cs="仿宋"/>
          <w:sz w:val="32"/>
          <w:szCs w:val="32"/>
        </w:rPr>
      </w:pPr>
      <w:r>
        <w:rPr>
          <w:rFonts w:hint="eastAsia" w:ascii="黑体" w:hAnsi="黑体" w:eastAsia="黑体" w:cs="仿宋"/>
          <w:sz w:val="32"/>
          <w:szCs w:val="32"/>
        </w:rPr>
        <w:t>附件3</w:t>
      </w: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rPr>
        <w:t>行政固定资产盘盈盘亏处理流程</w:t>
      </w:r>
    </w:p>
    <w:tbl>
      <w:tblPr>
        <w:tblStyle w:val="7"/>
        <w:tblpPr w:leftFromText="180" w:rightFromText="180" w:vertAnchor="text" w:horzAnchor="page" w:tblpX="3753" w:tblpY="738"/>
        <w:tblOverlap w:val="never"/>
        <w:tblW w:w="4897" w:type="dxa"/>
        <w:tblInd w:w="0" w:type="dxa"/>
        <w:tblLayout w:type="fixed"/>
        <w:tblCellMar>
          <w:top w:w="0" w:type="dxa"/>
          <w:left w:w="108" w:type="dxa"/>
          <w:bottom w:w="0" w:type="dxa"/>
          <w:right w:w="108" w:type="dxa"/>
        </w:tblCellMar>
      </w:tblPr>
      <w:tblGrid>
        <w:gridCol w:w="4897"/>
      </w:tblGrid>
      <w:tr>
        <w:tblPrEx>
          <w:tblLayout w:type="fixed"/>
          <w:tblCellMar>
            <w:top w:w="0" w:type="dxa"/>
            <w:left w:w="108" w:type="dxa"/>
            <w:bottom w:w="0" w:type="dxa"/>
            <w:right w:w="108" w:type="dxa"/>
          </w:tblCellMar>
        </w:tblPrEx>
        <w:trPr>
          <w:trHeight w:val="330"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根据学校部署进行固定资产清查</w:t>
            </w:r>
          </w:p>
        </w:tc>
      </w:tr>
      <w:tr>
        <w:tblPrEx>
          <w:tblLayout w:type="fixed"/>
          <w:tblCellMar>
            <w:top w:w="0" w:type="dxa"/>
            <w:left w:w="108" w:type="dxa"/>
            <w:bottom w:w="0" w:type="dxa"/>
            <w:right w:w="108" w:type="dxa"/>
          </w:tblCellMar>
        </w:tblPrEx>
        <w:trPr>
          <w:trHeight w:val="270" w:hRule="atLeast"/>
        </w:trPr>
        <w:tc>
          <w:tcPr>
            <w:tcW w:w="4897"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填制固定资产盘盈盘亏情况报告表</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查明盘盈盘亏原因</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3"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由国有资产管理处提出处理意见</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349"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 xml:space="preserve">       提交学校资产管理委员会审批</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 xml:space="preserve">    盘盈的固定资产应按重置成本价值入账</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盘亏的固定资产按折旧价值由过失人作出赔偿</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Layout w:type="fixed"/>
          <w:tblCellMar>
            <w:top w:w="0" w:type="dxa"/>
            <w:left w:w="108" w:type="dxa"/>
            <w:bottom w:w="0" w:type="dxa"/>
            <w:right w:w="108" w:type="dxa"/>
          </w:tblCellMar>
        </w:tblPrEx>
        <w:trPr>
          <w:trHeight w:val="285" w:hRule="atLeast"/>
        </w:trPr>
        <w:tc>
          <w:tcPr>
            <w:tcW w:w="4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盘盈盘亏情况报计财处进行账目处理</w:t>
            </w:r>
          </w:p>
        </w:tc>
      </w:tr>
      <w:tr>
        <w:tblPrEx>
          <w:tblLayout w:type="fixed"/>
          <w:tblCellMar>
            <w:top w:w="0" w:type="dxa"/>
            <w:left w:w="108" w:type="dxa"/>
            <w:bottom w:w="0" w:type="dxa"/>
            <w:right w:w="108" w:type="dxa"/>
          </w:tblCellMar>
        </w:tblPrEx>
        <w:trPr>
          <w:trHeight w:val="285" w:hRule="atLeast"/>
        </w:trPr>
        <w:tc>
          <w:tcPr>
            <w:tcW w:w="4897" w:type="dxa"/>
            <w:tcBorders>
              <w:top w:val="nil"/>
              <w:left w:val="nil"/>
              <w:bottom w:val="nil"/>
            </w:tcBorders>
            <w:noWrap w:val="0"/>
            <w:vAlign w:val="center"/>
          </w:tcPr>
          <w:p>
            <w:pPr>
              <w:widowControl/>
              <w:jc w:val="center"/>
              <w:rPr>
                <w:rFonts w:hint="eastAsia" w:ascii="仿宋" w:hAnsi="仿宋" w:eastAsia="仿宋" w:cs="仿宋"/>
                <w:kern w:val="0"/>
                <w:sz w:val="24"/>
                <w:szCs w:val="24"/>
              </w:rPr>
            </w:pPr>
          </w:p>
        </w:tc>
      </w:tr>
    </w:tbl>
    <w:p>
      <w:pPr>
        <w:rPr>
          <w:rFonts w:hint="eastAsia" w:ascii="仿宋" w:hAnsi="仿宋" w:eastAsia="仿宋" w:cs="仿宋"/>
          <w:b/>
          <w:sz w:val="32"/>
          <w:szCs w:val="32"/>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黑体" w:hAnsi="黑体" w:eastAsia="黑体" w:cs="宋体"/>
          <w:color w:val="FF0000"/>
          <w:sz w:val="32"/>
          <w:szCs w:val="32"/>
          <w:u w:val="single"/>
        </w:rPr>
      </w:pPr>
      <w:r>
        <w:rPr>
          <w:rFonts w:hint="eastAsia" w:ascii="仿宋" w:hAnsi="仿宋" w:eastAsia="仿宋" w:cs="仿宋"/>
          <w:sz w:val="24"/>
          <w:szCs w:val="24"/>
        </w:rPr>
        <w:br w:type="page"/>
      </w:r>
      <w:r>
        <w:rPr>
          <w:rFonts w:hint="eastAsia" w:ascii="黑体" w:hAnsi="黑体" w:eastAsia="黑体" w:cs="仿宋"/>
          <w:sz w:val="32"/>
          <w:szCs w:val="32"/>
        </w:rPr>
        <w:t>附件4</w:t>
      </w:r>
    </w:p>
    <w:tbl>
      <w:tblPr>
        <w:tblStyle w:val="7"/>
        <w:tblW w:w="6334" w:type="dxa"/>
        <w:tblInd w:w="-34" w:type="dxa"/>
        <w:tblLayout w:type="fixed"/>
        <w:tblCellMar>
          <w:top w:w="0" w:type="dxa"/>
          <w:left w:w="108" w:type="dxa"/>
          <w:bottom w:w="0" w:type="dxa"/>
          <w:right w:w="108" w:type="dxa"/>
        </w:tblCellMar>
      </w:tblPr>
      <w:tblGrid>
        <w:gridCol w:w="934"/>
        <w:gridCol w:w="1080"/>
        <w:gridCol w:w="1080"/>
        <w:gridCol w:w="1080"/>
        <w:gridCol w:w="1080"/>
        <w:gridCol w:w="1080"/>
      </w:tblGrid>
      <w:tr>
        <w:tblPrEx>
          <w:tblLayout w:type="fixed"/>
          <w:tblCellMar>
            <w:top w:w="0" w:type="dxa"/>
            <w:left w:w="108" w:type="dxa"/>
            <w:bottom w:w="0" w:type="dxa"/>
            <w:right w:w="108" w:type="dxa"/>
          </w:tblCellMar>
        </w:tblPrEx>
        <w:trPr>
          <w:trHeight w:val="405" w:hRule="atLeast"/>
        </w:trPr>
        <w:tc>
          <w:tcPr>
            <w:tcW w:w="934" w:type="dxa"/>
            <w:noWrap w:val="0"/>
            <w:vAlign w:val="center"/>
          </w:tcPr>
          <w:p>
            <w:pPr>
              <w:autoSpaceDN w:val="0"/>
              <w:jc w:val="left"/>
              <w:textAlignment w:val="center"/>
              <w:rPr>
                <w:rFonts w:ascii="宋体" w:hAnsi="宋体"/>
                <w:b/>
                <w:color w:val="000000"/>
                <w:sz w:val="32"/>
              </w:rPr>
            </w:pPr>
          </w:p>
        </w:tc>
        <w:tc>
          <w:tcPr>
            <w:tcW w:w="1080" w:type="dxa"/>
            <w:noWrap w:val="0"/>
            <w:vAlign w:val="center"/>
          </w:tcPr>
          <w:p>
            <w:pPr>
              <w:autoSpaceDN w:val="0"/>
              <w:jc w:val="left"/>
              <w:textAlignment w:val="center"/>
              <w:rPr>
                <w:rFonts w:ascii="宋体" w:hAnsi="宋体"/>
                <w:b/>
                <w:color w:val="000000"/>
                <w:sz w:val="32"/>
              </w:rPr>
            </w:pPr>
          </w:p>
        </w:tc>
        <w:tc>
          <w:tcPr>
            <w:tcW w:w="1080" w:type="dxa"/>
            <w:noWrap w:val="0"/>
            <w:vAlign w:val="center"/>
          </w:tcPr>
          <w:p>
            <w:pPr>
              <w:autoSpaceDN w:val="0"/>
              <w:jc w:val="left"/>
              <w:textAlignment w:val="center"/>
              <w:rPr>
                <w:rFonts w:ascii="宋体" w:hAnsi="宋体"/>
                <w:b/>
                <w:color w:val="000000"/>
                <w:sz w:val="32"/>
              </w:rPr>
            </w:pPr>
          </w:p>
        </w:tc>
        <w:tc>
          <w:tcPr>
            <w:tcW w:w="1080" w:type="dxa"/>
            <w:noWrap w:val="0"/>
            <w:vAlign w:val="center"/>
          </w:tcPr>
          <w:p>
            <w:pPr>
              <w:autoSpaceDN w:val="0"/>
              <w:jc w:val="left"/>
              <w:textAlignment w:val="center"/>
              <w:rPr>
                <w:rFonts w:ascii="宋体" w:hAnsi="宋体"/>
                <w:b/>
                <w:color w:val="000000"/>
                <w:sz w:val="32"/>
              </w:rPr>
            </w:pPr>
          </w:p>
        </w:tc>
        <w:tc>
          <w:tcPr>
            <w:tcW w:w="1080" w:type="dxa"/>
            <w:noWrap w:val="0"/>
            <w:vAlign w:val="center"/>
          </w:tcPr>
          <w:p>
            <w:pPr>
              <w:autoSpaceDN w:val="0"/>
              <w:jc w:val="left"/>
              <w:textAlignment w:val="center"/>
              <w:rPr>
                <w:rFonts w:ascii="宋体" w:hAnsi="宋体"/>
                <w:b/>
                <w:color w:val="000000"/>
                <w:sz w:val="32"/>
              </w:rPr>
            </w:pPr>
          </w:p>
        </w:tc>
        <w:tc>
          <w:tcPr>
            <w:tcW w:w="1080" w:type="dxa"/>
            <w:noWrap w:val="0"/>
            <w:vAlign w:val="center"/>
          </w:tcPr>
          <w:p>
            <w:pPr>
              <w:autoSpaceDN w:val="0"/>
              <w:jc w:val="left"/>
              <w:textAlignment w:val="center"/>
              <w:rPr>
                <w:rFonts w:ascii="宋体" w:hAnsi="宋体"/>
                <w:color w:val="000000"/>
                <w:sz w:val="24"/>
              </w:rPr>
            </w:pPr>
          </w:p>
        </w:tc>
      </w:tr>
    </w:tbl>
    <w:p>
      <w:pPr>
        <w:jc w:val="center"/>
        <w:rPr>
          <w:rFonts w:hint="eastAsia"/>
        </w:rPr>
      </w:pPr>
      <w:r>
        <w:rPr>
          <w:rFonts w:hint="eastAsia" w:ascii="方正小标宋简体" w:hAnsi="宋体" w:eastAsia="方正小标宋简体" w:cs="宋体"/>
          <w:sz w:val="36"/>
          <w:szCs w:val="36"/>
        </w:rPr>
        <w:t>行政固定资产盘盈盘亏报告表</w:t>
      </w:r>
    </w:p>
    <w:p>
      <w:pPr>
        <w:tabs>
          <w:tab w:val="left" w:pos="7733"/>
        </w:tabs>
        <w:jc w:val="left"/>
        <w:rPr>
          <w:rFonts w:hint="eastAsia"/>
        </w:rPr>
      </w:pPr>
      <w:r>
        <w:drawing>
          <wp:inline distT="0" distB="0" distL="114300" distR="114300">
            <wp:extent cx="5612765" cy="2973705"/>
            <wp:effectExtent l="0" t="0" r="698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167"/>
                    <a:stretch>
                      <a:fillRect/>
                    </a:stretch>
                  </pic:blipFill>
                  <pic:spPr>
                    <a:xfrm>
                      <a:off x="0" y="0"/>
                      <a:ext cx="5612765" cy="2973705"/>
                    </a:xfrm>
                    <a:prstGeom prst="rect">
                      <a:avLst/>
                    </a:prstGeom>
                    <a:noFill/>
                    <a:ln>
                      <a:noFill/>
                    </a:ln>
                  </pic:spPr>
                </pic:pic>
              </a:graphicData>
            </a:graphic>
          </wp:inline>
        </w:drawing>
      </w:r>
    </w:p>
    <w:sectPr>
      <w:pgSz w:w="11906" w:h="16838"/>
      <w:pgMar w:top="1440" w:right="1531" w:bottom="1440" w:left="1531"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r>
      <w:rPr>
        <w:rFonts w:hint="eastAsia" w:ascii="仿宋_GB2312" w:eastAsia="仿宋_GB2312"/>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10</w:t>
    </w:r>
    <w:r>
      <w:rPr>
        <w:rFonts w:hint="eastAsia" w:ascii="仿宋_GB2312" w:eastAsia="仿宋_GB2312"/>
        <w:sz w:val="28"/>
        <w:szCs w:val="28"/>
      </w:rPr>
      <w:fldChar w:fldCharType="end"/>
    </w:r>
    <w:r>
      <w:rPr>
        <w:rFonts w:hint="eastAsia" w:ascii="仿宋_GB2312" w:eastAsia="仿宋_GB2312"/>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174"/>
    <w:rsid w:val="000D797A"/>
    <w:rsid w:val="005D5A90"/>
    <w:rsid w:val="00B815DD"/>
    <w:rsid w:val="00D05135"/>
    <w:rsid w:val="00D46BCE"/>
    <w:rsid w:val="00FD4E3B"/>
    <w:rsid w:val="18833CBB"/>
    <w:rsid w:val="47C976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1"/>
      <w:lang w:val="en-US" w:eastAsia="zh-CN" w:bidi="ar-SA"/>
    </w:rPr>
  </w:style>
  <w:style w:type="character" w:default="1" w:styleId="8">
    <w:name w:val="Default Paragraph Font"/>
    <w:uiPriority w:val="0"/>
  </w:style>
  <w:style w:type="table" w:default="1" w:styleId="7">
    <w:name w:val="Normal Table"/>
    <w:unhideWhenUsed/>
    <w:uiPriority w:val="99"/>
    <w:tblPr>
      <w:tblStyle w:val="7"/>
      <w:tblLayout w:type="fixed"/>
      <w:tblCellMar>
        <w:top w:w="0" w:type="dxa"/>
        <w:left w:w="108" w:type="dxa"/>
        <w:bottom w:w="0" w:type="dxa"/>
        <w:right w:w="108" w:type="dxa"/>
      </w:tblCellMar>
    </w:tblPr>
  </w:style>
  <w:style w:type="paragraph" w:styleId="2">
    <w:name w:val="annotation text"/>
    <w:basedOn w:val="1"/>
    <w:link w:val="21"/>
    <w:uiPriority w:val="0"/>
    <w:pPr>
      <w:jc w:val="left"/>
    </w:pPr>
  </w:style>
  <w:style w:type="paragraph" w:styleId="3">
    <w:name w:val="Balloon Text"/>
    <w:basedOn w:val="1"/>
    <w:link w:val="20"/>
    <w:uiPriority w:val="0"/>
    <w:rPr>
      <w:sz w:val="18"/>
      <w:szCs w:val="18"/>
    </w:rPr>
  </w:style>
  <w:style w:type="paragraph" w:styleId="4">
    <w:name w:val="footer"/>
    <w:basedOn w:val="1"/>
    <w:link w:val="30"/>
    <w:uiPriority w:val="0"/>
    <w:pPr>
      <w:tabs>
        <w:tab w:val="center" w:pos="4153"/>
        <w:tab w:val="right" w:pos="8306"/>
      </w:tabs>
      <w:snapToGrid w:val="0"/>
      <w:jc w:val="left"/>
    </w:pPr>
    <w:rPr>
      <w:sz w:val="18"/>
      <w:szCs w:val="18"/>
    </w:rPr>
  </w:style>
  <w:style w:type="paragraph" w:styleId="5">
    <w:name w:val="header"/>
    <w:basedOn w:val="1"/>
    <w:link w:val="26"/>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9"/>
    <w:uiPriority w:val="0"/>
    <w:rPr>
      <w:b/>
      <w:bCs/>
    </w:rPr>
  </w:style>
  <w:style w:type="character" w:styleId="9">
    <w:name w:val="page number"/>
    <w:basedOn w:val="8"/>
    <w:uiPriority w:val="0"/>
  </w:style>
  <w:style w:type="character" w:styleId="10">
    <w:name w:val="annotation reference"/>
    <w:uiPriority w:val="0"/>
    <w:rPr>
      <w:sz w:val="21"/>
      <w:szCs w:val="21"/>
    </w:rPr>
  </w:style>
  <w:style w:type="paragraph" w:customStyle="1" w:styleId="11">
    <w:name w:val="引用1"/>
    <w:basedOn w:val="1"/>
    <w:next w:val="1"/>
    <w:uiPriority w:val="0"/>
    <w:pPr>
      <w:spacing w:before="200" w:beforeLines="0" w:after="160" w:afterLines="0"/>
      <w:ind w:left="864" w:right="864"/>
      <w:jc w:val="center"/>
    </w:pPr>
    <w:rPr>
      <w:rFonts w:ascii="Calibri" w:hAnsi="Calibri"/>
      <w:i/>
      <w:iCs/>
      <w:color w:val="000000"/>
      <w:kern w:val="2"/>
      <w:sz w:val="21"/>
      <w:szCs w:val="22"/>
    </w:rPr>
  </w:style>
  <w:style w:type="paragraph" w:customStyle="1" w:styleId="12">
    <w:name w:val="0名称"/>
    <w:basedOn w:val="13"/>
    <w:link w:val="28"/>
    <w:uiPriority w:val="0"/>
    <w:pPr>
      <w:spacing w:before="100" w:beforeLines="0" w:beforeAutospacing="1" w:after="100" w:afterLines="0" w:afterAutospacing="1" w:line="520" w:lineRule="exact"/>
      <w:ind w:left="0" w:right="0"/>
    </w:pPr>
    <w:rPr>
      <w:rFonts w:ascii="Calibri" w:hAnsi="Calibri" w:eastAsia="方正小标宋简体"/>
      <w:i w:val="0"/>
      <w:color w:val="3F3F3F"/>
      <w:kern w:val="2"/>
      <w:sz w:val="44"/>
      <w:szCs w:val="22"/>
    </w:rPr>
  </w:style>
  <w:style w:type="paragraph" w:styleId="13">
    <w:name w:val="Quote"/>
    <w:basedOn w:val="1"/>
    <w:next w:val="1"/>
    <w:link w:val="22"/>
    <w:qFormat/>
    <w:uiPriority w:val="0"/>
    <w:rPr>
      <w:rFonts w:ascii="Calibri" w:hAnsi="Calibri"/>
      <w:i/>
      <w:iCs/>
      <w:color w:val="000000"/>
      <w:kern w:val="2"/>
      <w:sz w:val="21"/>
      <w:szCs w:val="22"/>
    </w:rPr>
  </w:style>
  <w:style w:type="paragraph" w:customStyle="1" w:styleId="14">
    <w:name w:val="1级标题"/>
    <w:basedOn w:val="12"/>
    <w:link w:val="19"/>
    <w:uiPriority w:val="0"/>
    <w:pPr>
      <w:adjustRightInd w:val="0"/>
      <w:snapToGrid w:val="0"/>
      <w:jc w:val="both"/>
    </w:pPr>
    <w:rPr>
      <w:rFonts w:ascii="Calibri" w:hAnsi="Calibri" w:eastAsia="黑体"/>
      <w:color w:val="3F3F3F"/>
      <w:kern w:val="2"/>
      <w:sz w:val="32"/>
      <w:szCs w:val="22"/>
    </w:rPr>
  </w:style>
  <w:style w:type="paragraph" w:customStyle="1" w:styleId="15">
    <w:name w:val="5落款"/>
    <w:basedOn w:val="1"/>
    <w:link w:val="23"/>
    <w:uiPriority w:val="0"/>
    <w:pPr>
      <w:spacing w:before="100" w:beforeLines="0" w:beforeAutospacing="1" w:after="100" w:afterLines="0" w:afterAutospacing="1" w:line="520" w:lineRule="exact"/>
      <w:ind w:right="800" w:rightChars="800"/>
      <w:jc w:val="right"/>
    </w:pPr>
    <w:rPr>
      <w:rFonts w:eastAsia="仿宋"/>
      <w:sz w:val="32"/>
    </w:rPr>
  </w:style>
  <w:style w:type="paragraph" w:customStyle="1" w:styleId="16">
    <w:name w:val="4正文"/>
    <w:basedOn w:val="14"/>
    <w:link w:val="24"/>
    <w:uiPriority w:val="0"/>
    <w:pPr>
      <w:ind w:firstLine="200" w:firstLineChars="200"/>
      <w:jc w:val="left"/>
    </w:pPr>
    <w:rPr>
      <w:rFonts w:ascii="Calibri" w:hAnsi="Calibri" w:eastAsia="仿宋_GB2312"/>
      <w:color w:val="3F3F3F"/>
      <w:kern w:val="2"/>
      <w:sz w:val="32"/>
      <w:szCs w:val="22"/>
    </w:rPr>
  </w:style>
  <w:style w:type="paragraph" w:customStyle="1" w:styleId="17">
    <w:name w:val="3级标题"/>
    <w:basedOn w:val="16"/>
    <w:link w:val="25"/>
    <w:uiPriority w:val="0"/>
    <w:rPr>
      <w:rFonts w:ascii="Calibri" w:hAnsi="Calibri" w:eastAsia="仿宋"/>
      <w:color w:val="3F3F3F"/>
      <w:kern w:val="2"/>
      <w:sz w:val="32"/>
      <w:szCs w:val="22"/>
    </w:rPr>
  </w:style>
  <w:style w:type="paragraph" w:customStyle="1" w:styleId="18">
    <w:name w:val="2级标题"/>
    <w:basedOn w:val="14"/>
    <w:link w:val="27"/>
    <w:uiPriority w:val="0"/>
    <w:rPr>
      <w:rFonts w:ascii="Calibri" w:hAnsi="Calibri" w:eastAsia="仿宋"/>
      <w:b/>
      <w:color w:val="3F3F3F"/>
      <w:kern w:val="2"/>
      <w:sz w:val="32"/>
      <w:szCs w:val="22"/>
    </w:rPr>
  </w:style>
  <w:style w:type="character" w:customStyle="1" w:styleId="19">
    <w:name w:val="1级标题 Char Char"/>
    <w:link w:val="14"/>
    <w:uiPriority w:val="0"/>
    <w:rPr>
      <w:rFonts w:ascii="Calibri" w:hAnsi="Calibri" w:eastAsia="黑体"/>
      <w:iCs/>
      <w:color w:val="3F3F3F"/>
      <w:kern w:val="2"/>
      <w:sz w:val="32"/>
      <w:szCs w:val="22"/>
    </w:rPr>
  </w:style>
  <w:style w:type="character" w:customStyle="1" w:styleId="20">
    <w:name w:val="批注框文本 Char"/>
    <w:link w:val="3"/>
    <w:uiPriority w:val="0"/>
    <w:rPr>
      <w:sz w:val="18"/>
      <w:szCs w:val="18"/>
    </w:rPr>
  </w:style>
  <w:style w:type="character" w:customStyle="1" w:styleId="21">
    <w:name w:val="批注文字 Char"/>
    <w:basedOn w:val="8"/>
    <w:link w:val="2"/>
    <w:uiPriority w:val="0"/>
  </w:style>
  <w:style w:type="character" w:customStyle="1" w:styleId="22">
    <w:name w:val="引用 Char"/>
    <w:link w:val="13"/>
    <w:uiPriority w:val="0"/>
    <w:rPr>
      <w:rFonts w:ascii="Calibri" w:hAnsi="Calibri"/>
      <w:i/>
      <w:iCs/>
      <w:color w:val="000000"/>
      <w:kern w:val="2"/>
      <w:sz w:val="21"/>
      <w:szCs w:val="22"/>
    </w:rPr>
  </w:style>
  <w:style w:type="character" w:customStyle="1" w:styleId="23">
    <w:name w:val="5落款 Char Char"/>
    <w:link w:val="15"/>
    <w:uiPriority w:val="0"/>
    <w:rPr>
      <w:rFonts w:eastAsia="仿宋"/>
      <w:sz w:val="32"/>
    </w:rPr>
  </w:style>
  <w:style w:type="character" w:customStyle="1" w:styleId="24">
    <w:name w:val="4正文 Char Char"/>
    <w:link w:val="16"/>
    <w:uiPriority w:val="0"/>
    <w:rPr>
      <w:rFonts w:ascii="Calibri" w:hAnsi="Calibri" w:eastAsia="仿宋_GB2312"/>
      <w:iCs/>
      <w:color w:val="3F3F3F"/>
      <w:kern w:val="2"/>
      <w:sz w:val="32"/>
      <w:szCs w:val="22"/>
    </w:rPr>
  </w:style>
  <w:style w:type="character" w:customStyle="1" w:styleId="25">
    <w:name w:val="3级标题 Char Char"/>
    <w:link w:val="17"/>
    <w:uiPriority w:val="0"/>
    <w:rPr>
      <w:rFonts w:ascii="Calibri" w:hAnsi="Calibri" w:eastAsia="仿宋"/>
      <w:iCs/>
      <w:color w:val="3F3F3F"/>
      <w:kern w:val="2"/>
      <w:sz w:val="32"/>
      <w:szCs w:val="22"/>
    </w:rPr>
  </w:style>
  <w:style w:type="character" w:customStyle="1" w:styleId="26">
    <w:name w:val="页眉 Char"/>
    <w:link w:val="5"/>
    <w:uiPriority w:val="0"/>
    <w:rPr>
      <w:sz w:val="18"/>
      <w:szCs w:val="18"/>
    </w:rPr>
  </w:style>
  <w:style w:type="character" w:customStyle="1" w:styleId="27">
    <w:name w:val="2级标题 Char Char"/>
    <w:link w:val="18"/>
    <w:uiPriority w:val="0"/>
    <w:rPr>
      <w:rFonts w:ascii="Calibri" w:hAnsi="Calibri" w:eastAsia="仿宋"/>
      <w:b/>
      <w:iCs/>
      <w:color w:val="3F3F3F"/>
      <w:kern w:val="2"/>
      <w:sz w:val="32"/>
      <w:szCs w:val="22"/>
    </w:rPr>
  </w:style>
  <w:style w:type="character" w:customStyle="1" w:styleId="28">
    <w:name w:val="0名称 Char Char"/>
    <w:link w:val="12"/>
    <w:uiPriority w:val="0"/>
    <w:rPr>
      <w:rFonts w:ascii="Calibri" w:hAnsi="Calibri" w:eastAsia="方正小标宋简体"/>
      <w:iCs/>
      <w:color w:val="3F3F3F"/>
      <w:kern w:val="2"/>
      <w:sz w:val="44"/>
      <w:szCs w:val="22"/>
    </w:rPr>
  </w:style>
  <w:style w:type="character" w:customStyle="1" w:styleId="29">
    <w:name w:val="批注主题 Char"/>
    <w:link w:val="6"/>
    <w:uiPriority w:val="0"/>
    <w:rPr>
      <w:b/>
      <w:bCs/>
    </w:rPr>
  </w:style>
  <w:style w:type="character" w:customStyle="1" w:styleId="30">
    <w:name w:val="页脚 Char"/>
    <w:link w:val="4"/>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627</Words>
  <Characters>3580</Characters>
  <Lines>29</Lines>
  <Paragraphs>8</Paragraphs>
  <TotalTime>0</TotalTime>
  <ScaleCrop>false</ScaleCrop>
  <LinksUpToDate>false</LinksUpToDate>
  <CharactersWithSpaces>4199</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2018-09-07T08:40:00Z</dcterms:created>
  <dc:creator>admin</dc:creator>
  <cp:lastModifiedBy>Xiao</cp:lastModifiedBy>
  <dcterms:modified xsi:type="dcterms:W3CDTF">2019-03-06T02:17:23Z</dcterms:modified>
  <dc:title>行政固定资产管理办法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KSOProductBuildVer">
    <vt:lpwstr>2052-11.1.0.8500</vt:lpwstr>
  </property>
</Properties>
</file>