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75" w:rsidRPr="00376D7C" w:rsidRDefault="00376D7C" w:rsidP="00376D7C">
      <w:pPr>
        <w:jc w:val="center"/>
        <w:rPr>
          <w:b/>
          <w:sz w:val="30"/>
          <w:szCs w:val="30"/>
        </w:rPr>
      </w:pPr>
      <w:r w:rsidRPr="00376D7C">
        <w:rPr>
          <w:rFonts w:hint="eastAsia"/>
          <w:b/>
          <w:sz w:val="30"/>
          <w:szCs w:val="30"/>
        </w:rPr>
        <w:t>《光电信息重点实验室》项目（通风和空调设备安装）</w:t>
      </w:r>
      <w:r w:rsidR="00727D75" w:rsidRPr="00376D7C">
        <w:rPr>
          <w:rFonts w:hint="eastAsia"/>
          <w:b/>
          <w:sz w:val="30"/>
          <w:szCs w:val="30"/>
        </w:rPr>
        <w:t>询价采购文件</w:t>
      </w:r>
    </w:p>
    <w:p w:rsidR="00065B00" w:rsidRPr="008E2A25" w:rsidRDefault="00727D75" w:rsidP="00727D75">
      <w:pPr>
        <w:rPr>
          <w:sz w:val="24"/>
          <w:szCs w:val="24"/>
        </w:rPr>
      </w:pPr>
      <w:r w:rsidRPr="008E2A25">
        <w:rPr>
          <w:rFonts w:hint="eastAsia"/>
          <w:sz w:val="24"/>
          <w:szCs w:val="24"/>
        </w:rPr>
        <w:t>一、项目编号：</w:t>
      </w:r>
      <w:r w:rsidR="00065B00" w:rsidRPr="008E2A25">
        <w:rPr>
          <w:sz w:val="24"/>
          <w:szCs w:val="24"/>
        </w:rPr>
        <w:t>FKJX20180</w:t>
      </w:r>
      <w:r w:rsidR="00376D7C">
        <w:rPr>
          <w:rFonts w:hint="eastAsia"/>
          <w:sz w:val="24"/>
          <w:szCs w:val="24"/>
        </w:rPr>
        <w:t>7</w:t>
      </w:r>
    </w:p>
    <w:p w:rsidR="00376D7C" w:rsidRDefault="00727D75" w:rsidP="00727D75">
      <w:pPr>
        <w:rPr>
          <w:rFonts w:hint="eastAsia"/>
          <w:sz w:val="24"/>
          <w:szCs w:val="24"/>
        </w:rPr>
      </w:pPr>
      <w:r w:rsidRPr="008E2A25">
        <w:rPr>
          <w:rFonts w:hint="eastAsia"/>
          <w:sz w:val="24"/>
          <w:szCs w:val="24"/>
        </w:rPr>
        <w:t>二、项目名称：</w:t>
      </w:r>
      <w:r w:rsidR="00376D7C" w:rsidRPr="00376D7C">
        <w:rPr>
          <w:rFonts w:hint="eastAsia"/>
          <w:sz w:val="24"/>
          <w:szCs w:val="24"/>
        </w:rPr>
        <w:t>《光电信息重点实验室》项目（通风和空调设备安装）</w:t>
      </w:r>
    </w:p>
    <w:p w:rsidR="00727D75" w:rsidRPr="008E2A25" w:rsidRDefault="00727D75" w:rsidP="00727D75">
      <w:pPr>
        <w:rPr>
          <w:sz w:val="24"/>
          <w:szCs w:val="24"/>
        </w:rPr>
      </w:pPr>
      <w:r w:rsidRPr="008E2A25">
        <w:rPr>
          <w:rFonts w:hint="eastAsia"/>
          <w:sz w:val="24"/>
          <w:szCs w:val="24"/>
        </w:rPr>
        <w:t>三、采购预算：</w:t>
      </w:r>
      <w:r w:rsidR="00376D7C">
        <w:rPr>
          <w:rFonts w:hint="eastAsia"/>
          <w:sz w:val="24"/>
          <w:szCs w:val="24"/>
        </w:rPr>
        <w:t>12.9</w:t>
      </w:r>
      <w:r w:rsidR="00065B00" w:rsidRPr="008E2A25">
        <w:rPr>
          <w:rFonts w:hint="eastAsia"/>
          <w:sz w:val="24"/>
          <w:szCs w:val="24"/>
        </w:rPr>
        <w:t>万</w:t>
      </w:r>
      <w:r w:rsidRPr="008E2A25">
        <w:rPr>
          <w:rFonts w:hint="eastAsia"/>
          <w:sz w:val="24"/>
          <w:szCs w:val="24"/>
        </w:rPr>
        <w:t>元</w:t>
      </w:r>
    </w:p>
    <w:p w:rsidR="003A4DD1" w:rsidRPr="008E2A25" w:rsidRDefault="00727D75" w:rsidP="00727D75">
      <w:pPr>
        <w:rPr>
          <w:sz w:val="24"/>
          <w:szCs w:val="24"/>
        </w:rPr>
      </w:pPr>
      <w:r w:rsidRPr="008E2A25">
        <w:rPr>
          <w:rFonts w:hint="eastAsia"/>
          <w:sz w:val="24"/>
          <w:szCs w:val="24"/>
        </w:rPr>
        <w:t>四、采购设备清单与技术参数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14"/>
        <w:gridCol w:w="851"/>
        <w:gridCol w:w="1559"/>
        <w:gridCol w:w="8363"/>
        <w:gridCol w:w="1418"/>
      </w:tblGrid>
      <w:tr w:rsidR="00085AD9" w:rsidRPr="00A9037A" w:rsidTr="00085AD9">
        <w:trPr>
          <w:trHeight w:val="612"/>
          <w:tblHeader/>
        </w:trPr>
        <w:tc>
          <w:tcPr>
            <w:tcW w:w="637" w:type="dxa"/>
            <w:vAlign w:val="center"/>
          </w:tcPr>
          <w:p w:rsidR="00085AD9" w:rsidRPr="00A9037A" w:rsidRDefault="00085AD9" w:rsidP="008E5221">
            <w:pPr>
              <w:kinsoku w:val="0"/>
              <w:overflowPunct w:val="0"/>
              <w:autoSpaceDE w:val="0"/>
              <w:autoSpaceDN w:val="0"/>
              <w:jc w:val="center"/>
              <w:rPr>
                <w:rFonts w:ascii="宋体" w:eastAsia="宋体" w:hAnsi="宋体" w:cs="Times New Roman"/>
                <w:b/>
                <w:szCs w:val="21"/>
              </w:rPr>
            </w:pPr>
            <w:r w:rsidRPr="00A9037A">
              <w:rPr>
                <w:rFonts w:ascii="宋体" w:eastAsia="宋体" w:hAnsi="宋体" w:cs="Times New Roman" w:hint="eastAsia"/>
                <w:b/>
                <w:szCs w:val="21"/>
              </w:rPr>
              <w:t>序号</w:t>
            </w:r>
          </w:p>
        </w:tc>
        <w:tc>
          <w:tcPr>
            <w:tcW w:w="1314" w:type="dxa"/>
            <w:vAlign w:val="center"/>
          </w:tcPr>
          <w:p w:rsidR="00085AD9" w:rsidRPr="00A9037A" w:rsidRDefault="00085AD9" w:rsidP="008E5221">
            <w:pPr>
              <w:widowControl/>
              <w:jc w:val="center"/>
              <w:rPr>
                <w:rFonts w:ascii="宋体" w:eastAsia="宋体" w:hAnsi="宋体" w:cs="Times New Roman"/>
                <w:b/>
                <w:spacing w:val="-20"/>
                <w:szCs w:val="21"/>
              </w:rPr>
            </w:pPr>
            <w:r w:rsidRPr="00A9037A">
              <w:rPr>
                <w:rFonts w:ascii="宋体" w:eastAsia="宋体" w:hAnsi="宋体" w:cs="Times New Roman"/>
                <w:b/>
                <w:spacing w:val="-20"/>
                <w:szCs w:val="21"/>
              </w:rPr>
              <w:t>设备名称</w:t>
            </w:r>
          </w:p>
        </w:tc>
        <w:tc>
          <w:tcPr>
            <w:tcW w:w="851" w:type="dxa"/>
            <w:shd w:val="clear" w:color="auto" w:fill="auto"/>
            <w:vAlign w:val="center"/>
          </w:tcPr>
          <w:p w:rsidR="00085AD9" w:rsidRPr="00A9037A" w:rsidRDefault="00085AD9" w:rsidP="008E5221">
            <w:pPr>
              <w:widowControl/>
              <w:jc w:val="center"/>
              <w:rPr>
                <w:rFonts w:ascii="宋体" w:eastAsia="宋体" w:hAnsi="宋体" w:cs="Times New Roman"/>
                <w:b/>
                <w:spacing w:val="-20"/>
                <w:szCs w:val="21"/>
              </w:rPr>
            </w:pPr>
            <w:r w:rsidRPr="00A9037A">
              <w:rPr>
                <w:rFonts w:ascii="宋体" w:eastAsia="宋体" w:hAnsi="宋体" w:cs="Times New Roman"/>
                <w:b/>
                <w:spacing w:val="-20"/>
                <w:szCs w:val="21"/>
              </w:rPr>
              <w:t>设备品牌</w:t>
            </w:r>
          </w:p>
        </w:tc>
        <w:tc>
          <w:tcPr>
            <w:tcW w:w="1559" w:type="dxa"/>
            <w:shd w:val="clear" w:color="auto" w:fill="auto"/>
            <w:vAlign w:val="center"/>
          </w:tcPr>
          <w:p w:rsidR="00085AD9" w:rsidRPr="00A9037A" w:rsidRDefault="00085AD9" w:rsidP="008E5221">
            <w:pPr>
              <w:widowControl/>
              <w:jc w:val="center"/>
              <w:rPr>
                <w:rFonts w:ascii="宋体" w:eastAsia="宋体" w:hAnsi="宋体" w:cs="Times New Roman"/>
                <w:b/>
                <w:spacing w:val="-20"/>
                <w:szCs w:val="21"/>
              </w:rPr>
            </w:pPr>
            <w:r w:rsidRPr="00A9037A">
              <w:rPr>
                <w:rFonts w:ascii="宋体" w:eastAsia="宋体" w:hAnsi="宋体" w:cs="Times New Roman"/>
                <w:b/>
                <w:spacing w:val="-20"/>
                <w:szCs w:val="21"/>
              </w:rPr>
              <w:t>设备型号</w:t>
            </w:r>
          </w:p>
        </w:tc>
        <w:tc>
          <w:tcPr>
            <w:tcW w:w="8363" w:type="dxa"/>
            <w:shd w:val="clear" w:color="auto" w:fill="auto"/>
            <w:vAlign w:val="center"/>
          </w:tcPr>
          <w:p w:rsidR="00085AD9" w:rsidRPr="00A9037A" w:rsidRDefault="00085AD9" w:rsidP="008E5221">
            <w:pPr>
              <w:widowControl/>
              <w:jc w:val="center"/>
              <w:rPr>
                <w:rFonts w:ascii="宋体" w:eastAsia="宋体" w:hAnsi="宋体" w:cs="Times New Roman"/>
                <w:b/>
                <w:spacing w:val="-20"/>
                <w:szCs w:val="21"/>
              </w:rPr>
            </w:pPr>
            <w:r w:rsidRPr="00A9037A">
              <w:rPr>
                <w:rFonts w:ascii="宋体" w:eastAsia="宋体" w:hAnsi="宋体" w:cs="Times New Roman" w:hint="eastAsia"/>
                <w:b/>
                <w:spacing w:val="-20"/>
                <w:szCs w:val="21"/>
              </w:rPr>
              <w:t xml:space="preserve">技术参数及配件       </w:t>
            </w:r>
          </w:p>
        </w:tc>
        <w:tc>
          <w:tcPr>
            <w:tcW w:w="1418" w:type="dxa"/>
            <w:vAlign w:val="center"/>
          </w:tcPr>
          <w:p w:rsidR="00085AD9" w:rsidRPr="00A9037A" w:rsidRDefault="00085AD9" w:rsidP="008E5221">
            <w:pPr>
              <w:kinsoku w:val="0"/>
              <w:overflowPunct w:val="0"/>
              <w:autoSpaceDE w:val="0"/>
              <w:autoSpaceDN w:val="0"/>
              <w:jc w:val="center"/>
              <w:rPr>
                <w:rFonts w:ascii="宋体" w:eastAsia="宋体" w:hAnsi="宋体" w:cs="Times New Roman"/>
                <w:b/>
                <w:szCs w:val="21"/>
              </w:rPr>
            </w:pPr>
            <w:r w:rsidRPr="00A9037A">
              <w:rPr>
                <w:rFonts w:ascii="宋体" w:eastAsia="宋体" w:hAnsi="宋体" w:cs="Times New Roman" w:hint="eastAsia"/>
                <w:b/>
                <w:spacing w:val="-20"/>
                <w:szCs w:val="21"/>
              </w:rPr>
              <w:t xml:space="preserve">数量 </w:t>
            </w:r>
          </w:p>
        </w:tc>
      </w:tr>
      <w:tr w:rsidR="00F26324" w:rsidRPr="00A9037A" w:rsidTr="00085AD9">
        <w:trPr>
          <w:trHeight w:val="612"/>
          <w:tblHeader/>
        </w:trPr>
        <w:tc>
          <w:tcPr>
            <w:tcW w:w="637" w:type="dxa"/>
            <w:vAlign w:val="center"/>
          </w:tcPr>
          <w:p w:rsidR="00F26324" w:rsidRPr="00A9037A" w:rsidRDefault="00F26324" w:rsidP="008E5221">
            <w:pPr>
              <w:kinsoku w:val="0"/>
              <w:overflowPunct w:val="0"/>
              <w:autoSpaceDE w:val="0"/>
              <w:autoSpaceDN w:val="0"/>
              <w:jc w:val="center"/>
              <w:rPr>
                <w:rFonts w:ascii="宋体" w:eastAsia="宋体" w:hAnsi="宋体" w:cs="Times New Roman" w:hint="eastAsia"/>
                <w:b/>
                <w:szCs w:val="21"/>
              </w:rPr>
            </w:pPr>
            <w:r>
              <w:rPr>
                <w:rFonts w:ascii="宋体" w:eastAsia="宋体" w:hAnsi="宋体" w:cs="Times New Roman" w:hint="eastAsia"/>
                <w:b/>
                <w:szCs w:val="21"/>
              </w:rPr>
              <w:t>1</w:t>
            </w:r>
          </w:p>
        </w:tc>
        <w:tc>
          <w:tcPr>
            <w:tcW w:w="1314" w:type="dxa"/>
            <w:vAlign w:val="center"/>
          </w:tcPr>
          <w:p w:rsidR="00F26324" w:rsidRDefault="00F26324" w:rsidP="008E5221">
            <w:pPr>
              <w:jc w:val="center"/>
              <w:rPr>
                <w:b/>
                <w:szCs w:val="21"/>
              </w:rPr>
            </w:pPr>
            <w:r>
              <w:rPr>
                <w:rFonts w:hint="eastAsia"/>
                <w:b/>
                <w:szCs w:val="21"/>
              </w:rPr>
              <w:t>恒温恒湿洁净空调</w:t>
            </w:r>
          </w:p>
        </w:tc>
        <w:tc>
          <w:tcPr>
            <w:tcW w:w="851" w:type="dxa"/>
            <w:shd w:val="clear" w:color="auto" w:fill="auto"/>
            <w:vAlign w:val="center"/>
          </w:tcPr>
          <w:p w:rsidR="00F26324" w:rsidRDefault="00F26324" w:rsidP="008E5221">
            <w:pPr>
              <w:kinsoku w:val="0"/>
              <w:overflowPunct w:val="0"/>
              <w:autoSpaceDE w:val="0"/>
              <w:autoSpaceDN w:val="0"/>
              <w:jc w:val="left"/>
              <w:rPr>
                <w:szCs w:val="21"/>
              </w:rPr>
            </w:pPr>
            <w:proofErr w:type="gramStart"/>
            <w:r>
              <w:rPr>
                <w:rFonts w:hint="eastAsia"/>
                <w:szCs w:val="21"/>
              </w:rPr>
              <w:t>盾安</w:t>
            </w:r>
            <w:proofErr w:type="gramEnd"/>
          </w:p>
        </w:tc>
        <w:tc>
          <w:tcPr>
            <w:tcW w:w="1559" w:type="dxa"/>
            <w:shd w:val="clear" w:color="auto" w:fill="auto"/>
            <w:vAlign w:val="center"/>
          </w:tcPr>
          <w:p w:rsidR="00F26324" w:rsidRDefault="00F26324" w:rsidP="008E5221">
            <w:pPr>
              <w:kinsoku w:val="0"/>
              <w:overflowPunct w:val="0"/>
              <w:autoSpaceDE w:val="0"/>
              <w:autoSpaceDN w:val="0"/>
              <w:jc w:val="left"/>
              <w:rPr>
                <w:szCs w:val="21"/>
              </w:rPr>
            </w:pPr>
            <w:r>
              <w:rPr>
                <w:rFonts w:hint="eastAsia"/>
                <w:szCs w:val="21"/>
              </w:rPr>
              <w:t>WFWJHDJ55</w:t>
            </w:r>
          </w:p>
        </w:tc>
        <w:tc>
          <w:tcPr>
            <w:tcW w:w="8363" w:type="dxa"/>
            <w:shd w:val="clear" w:color="auto" w:fill="auto"/>
            <w:vAlign w:val="center"/>
          </w:tcPr>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Pr>
                <w:rFonts w:ascii="宋体" w:eastAsia="宋体" w:hAnsi="宋体" w:cs="Arial" w:hint="eastAsia"/>
                <w:szCs w:val="21"/>
              </w:rPr>
              <w:t>1.</w:t>
            </w:r>
            <w:r w:rsidRPr="003A4DD1">
              <w:rPr>
                <w:rFonts w:ascii="宋体" w:eastAsia="宋体" w:hAnsi="宋体" w:cs="Arial" w:hint="eastAsia"/>
                <w:szCs w:val="21"/>
              </w:rPr>
              <w:t>符合万级超净实验室要求</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2.</w:t>
            </w:r>
            <w:r w:rsidRPr="003A4DD1">
              <w:rPr>
                <w:rFonts w:ascii="宋体" w:eastAsia="宋体" w:hAnsi="宋体" w:cs="Arial" w:hint="eastAsia"/>
                <w:szCs w:val="21"/>
              </w:rPr>
              <w:tab/>
              <w:t>风量6000m3/h</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3.</w:t>
            </w:r>
            <w:r w:rsidRPr="003A4DD1">
              <w:rPr>
                <w:rFonts w:ascii="宋体" w:eastAsia="宋体" w:hAnsi="宋体" w:cs="Arial" w:hint="eastAsia"/>
                <w:szCs w:val="21"/>
              </w:rPr>
              <w:tab/>
              <w:t>新风2000m3/h</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4.</w:t>
            </w:r>
            <w:r w:rsidRPr="003A4DD1">
              <w:rPr>
                <w:rFonts w:ascii="宋体" w:eastAsia="宋体" w:hAnsi="宋体" w:cs="Arial" w:hint="eastAsia"/>
                <w:szCs w:val="21"/>
              </w:rPr>
              <w:tab/>
              <w:t>制冷量50kw</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5.</w:t>
            </w:r>
            <w:r w:rsidRPr="003A4DD1">
              <w:rPr>
                <w:rFonts w:ascii="宋体" w:eastAsia="宋体" w:hAnsi="宋体" w:cs="Arial" w:hint="eastAsia"/>
                <w:szCs w:val="21"/>
              </w:rPr>
              <w:tab/>
              <w:t>电加热18kw</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6.</w:t>
            </w:r>
            <w:r w:rsidRPr="003A4DD1">
              <w:rPr>
                <w:rFonts w:ascii="宋体" w:eastAsia="宋体" w:hAnsi="宋体" w:cs="Arial" w:hint="eastAsia"/>
                <w:szCs w:val="21"/>
              </w:rPr>
              <w:tab/>
              <w:t>电加湿10kg/h</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7.</w:t>
            </w:r>
            <w:r w:rsidRPr="003A4DD1">
              <w:rPr>
                <w:rFonts w:ascii="宋体" w:eastAsia="宋体" w:hAnsi="宋体" w:cs="Arial" w:hint="eastAsia"/>
                <w:szCs w:val="21"/>
              </w:rPr>
              <w:tab/>
              <w:t>机外余压650pa</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8.</w:t>
            </w:r>
            <w:r w:rsidRPr="003A4DD1">
              <w:rPr>
                <w:rFonts w:ascii="宋体" w:eastAsia="宋体" w:hAnsi="宋体" w:cs="Arial" w:hint="eastAsia"/>
                <w:szCs w:val="21"/>
              </w:rPr>
              <w:tab/>
              <w:t>本次招标的机组必须为获得生产许可证、CRAA认证的企业生产的产品</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9.</w:t>
            </w:r>
            <w:r w:rsidRPr="003A4DD1">
              <w:rPr>
                <w:rFonts w:ascii="宋体" w:eastAsia="宋体" w:hAnsi="宋体" w:cs="Arial" w:hint="eastAsia"/>
                <w:szCs w:val="21"/>
              </w:rPr>
              <w:tab/>
              <w:t>设备生产厂家应参与起草GB/T20738-2006 《屋顶式空气调节机组》和GB/T14294-2008《组合式空调机组》的起草工作</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10.</w:t>
            </w:r>
            <w:r w:rsidRPr="003A4DD1">
              <w:rPr>
                <w:rFonts w:ascii="宋体" w:eastAsia="宋体" w:hAnsi="宋体" w:cs="Arial" w:hint="eastAsia"/>
                <w:szCs w:val="21"/>
              </w:rPr>
              <w:tab/>
              <w:t>设备商需有5年以上的（直膨机组）生产历史，生产商必须具备全国工业产品生产许可证，生产厂商注册资本金不低于1.2亿元人民币。</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11.</w:t>
            </w:r>
            <w:r w:rsidRPr="003A4DD1">
              <w:rPr>
                <w:rFonts w:ascii="宋体" w:eastAsia="宋体" w:hAnsi="宋体" w:cs="Arial" w:hint="eastAsia"/>
                <w:szCs w:val="21"/>
              </w:rPr>
              <w:tab/>
              <w:t>设备生产厂家应具有国家级技术中心、实验室通过CNAS认证的实验室。</w:t>
            </w:r>
          </w:p>
          <w:p w:rsidR="00F26324" w:rsidRPr="00F26324"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12.</w:t>
            </w:r>
            <w:r w:rsidRPr="003A4DD1">
              <w:rPr>
                <w:rFonts w:ascii="宋体" w:eastAsia="宋体" w:hAnsi="宋体" w:cs="Arial" w:hint="eastAsia"/>
                <w:szCs w:val="21"/>
              </w:rPr>
              <w:tab/>
              <w:t>机组设计、制造、运输、调试、运行、保养等过程除了要满足GB/T14294-2008《组合式空调机组》及《屋顶式空气调节机组》GB/T20738-2006标准所规定以外，还要满足图纸要求、现行实验室体系等规定要求。</w:t>
            </w:r>
          </w:p>
        </w:tc>
        <w:tc>
          <w:tcPr>
            <w:tcW w:w="1418" w:type="dxa"/>
            <w:vAlign w:val="center"/>
          </w:tcPr>
          <w:p w:rsidR="00F26324" w:rsidRPr="00A9037A" w:rsidRDefault="00F26324" w:rsidP="008E5221">
            <w:pPr>
              <w:kinsoku w:val="0"/>
              <w:overflowPunct w:val="0"/>
              <w:autoSpaceDE w:val="0"/>
              <w:autoSpaceDN w:val="0"/>
              <w:jc w:val="center"/>
              <w:rPr>
                <w:rFonts w:ascii="宋体" w:eastAsia="宋体" w:hAnsi="宋体" w:cs="Times New Roman" w:hint="eastAsia"/>
                <w:b/>
                <w:spacing w:val="-20"/>
                <w:szCs w:val="21"/>
              </w:rPr>
            </w:pPr>
            <w:r>
              <w:rPr>
                <w:rFonts w:ascii="宋体" w:eastAsia="宋体" w:hAnsi="宋体" w:cs="Times New Roman" w:hint="eastAsia"/>
                <w:b/>
                <w:spacing w:val="-20"/>
                <w:szCs w:val="21"/>
              </w:rPr>
              <w:t>1</w:t>
            </w:r>
          </w:p>
        </w:tc>
      </w:tr>
      <w:tr w:rsidR="00F26324" w:rsidRPr="00A9037A" w:rsidTr="00085AD9">
        <w:trPr>
          <w:trHeight w:val="612"/>
          <w:tblHeader/>
        </w:trPr>
        <w:tc>
          <w:tcPr>
            <w:tcW w:w="637" w:type="dxa"/>
            <w:vAlign w:val="center"/>
          </w:tcPr>
          <w:p w:rsidR="00F26324" w:rsidRPr="00A9037A" w:rsidRDefault="00F26324" w:rsidP="008E5221">
            <w:pPr>
              <w:kinsoku w:val="0"/>
              <w:overflowPunct w:val="0"/>
              <w:autoSpaceDE w:val="0"/>
              <w:autoSpaceDN w:val="0"/>
              <w:jc w:val="center"/>
              <w:rPr>
                <w:rFonts w:ascii="宋体" w:eastAsia="宋体" w:hAnsi="宋体" w:cs="Times New Roman" w:hint="eastAsia"/>
                <w:b/>
                <w:szCs w:val="21"/>
              </w:rPr>
            </w:pPr>
          </w:p>
        </w:tc>
        <w:tc>
          <w:tcPr>
            <w:tcW w:w="1314" w:type="dxa"/>
            <w:vAlign w:val="center"/>
          </w:tcPr>
          <w:p w:rsidR="00F26324" w:rsidRPr="00A9037A" w:rsidRDefault="00F26324" w:rsidP="008E5221">
            <w:pPr>
              <w:widowControl/>
              <w:jc w:val="center"/>
              <w:rPr>
                <w:rFonts w:ascii="宋体" w:eastAsia="宋体" w:hAnsi="宋体" w:cs="Times New Roman"/>
                <w:b/>
                <w:spacing w:val="-20"/>
                <w:szCs w:val="21"/>
              </w:rPr>
            </w:pPr>
          </w:p>
        </w:tc>
        <w:tc>
          <w:tcPr>
            <w:tcW w:w="851" w:type="dxa"/>
            <w:shd w:val="clear" w:color="auto" w:fill="auto"/>
            <w:vAlign w:val="center"/>
          </w:tcPr>
          <w:p w:rsidR="00F26324" w:rsidRPr="00A9037A" w:rsidRDefault="00F26324" w:rsidP="008E5221">
            <w:pPr>
              <w:widowControl/>
              <w:jc w:val="center"/>
              <w:rPr>
                <w:rFonts w:ascii="宋体" w:eastAsia="宋体" w:hAnsi="宋体" w:cs="Times New Roman"/>
                <w:b/>
                <w:spacing w:val="-20"/>
                <w:szCs w:val="21"/>
              </w:rPr>
            </w:pPr>
          </w:p>
        </w:tc>
        <w:tc>
          <w:tcPr>
            <w:tcW w:w="1559" w:type="dxa"/>
            <w:shd w:val="clear" w:color="auto" w:fill="auto"/>
            <w:vAlign w:val="center"/>
          </w:tcPr>
          <w:p w:rsidR="00F26324" w:rsidRPr="00A9037A" w:rsidRDefault="00F26324" w:rsidP="008E5221">
            <w:pPr>
              <w:widowControl/>
              <w:jc w:val="center"/>
              <w:rPr>
                <w:rFonts w:ascii="宋体" w:eastAsia="宋体" w:hAnsi="宋体" w:cs="Times New Roman"/>
                <w:b/>
                <w:spacing w:val="-20"/>
                <w:szCs w:val="21"/>
              </w:rPr>
            </w:pPr>
          </w:p>
        </w:tc>
        <w:tc>
          <w:tcPr>
            <w:tcW w:w="8363" w:type="dxa"/>
            <w:shd w:val="clear" w:color="auto" w:fill="auto"/>
            <w:vAlign w:val="center"/>
          </w:tcPr>
          <w:p w:rsidR="00F26324" w:rsidRPr="003A4DD1" w:rsidRDefault="00F26324" w:rsidP="00085AD9">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13.</w:t>
            </w:r>
            <w:r w:rsidRPr="003A4DD1">
              <w:rPr>
                <w:rFonts w:ascii="宋体" w:eastAsia="宋体" w:hAnsi="宋体" w:cs="Arial" w:hint="eastAsia"/>
                <w:szCs w:val="21"/>
              </w:rPr>
              <w:tab/>
              <w:t>设备电源系统、控制系统所选用的器件、电线等应为国家优级产品，可长期稳定工作</w:t>
            </w:r>
          </w:p>
          <w:p w:rsidR="00F26324" w:rsidRPr="003A4DD1" w:rsidRDefault="00F26324" w:rsidP="00085AD9">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14.</w:t>
            </w:r>
            <w:r w:rsidRPr="003A4DD1">
              <w:rPr>
                <w:rFonts w:ascii="宋体" w:eastAsia="宋体" w:hAnsi="宋体" w:cs="Arial" w:hint="eastAsia"/>
                <w:szCs w:val="21"/>
              </w:rPr>
              <w:tab/>
              <w:t>设备不用时，有</w:t>
            </w:r>
            <w:proofErr w:type="gramStart"/>
            <w:r w:rsidRPr="003A4DD1">
              <w:rPr>
                <w:rFonts w:ascii="宋体" w:eastAsia="宋体" w:hAnsi="宋体" w:cs="Arial" w:hint="eastAsia"/>
                <w:szCs w:val="21"/>
              </w:rPr>
              <w:t>加表冷</w:t>
            </w:r>
            <w:proofErr w:type="gramEnd"/>
            <w:r w:rsidRPr="003A4DD1">
              <w:rPr>
                <w:rFonts w:ascii="宋体" w:eastAsia="宋体" w:hAnsi="宋体" w:cs="Arial" w:hint="eastAsia"/>
                <w:szCs w:val="21"/>
              </w:rPr>
              <w:t>、加热等装置及冷凝水可完全排净</w:t>
            </w:r>
          </w:p>
          <w:p w:rsidR="00F26324" w:rsidRPr="003A4DD1" w:rsidRDefault="00F26324" w:rsidP="00085AD9">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15.</w:t>
            </w:r>
            <w:r w:rsidRPr="003A4DD1">
              <w:rPr>
                <w:rFonts w:ascii="宋体" w:eastAsia="宋体" w:hAnsi="宋体" w:cs="Arial" w:hint="eastAsia"/>
                <w:szCs w:val="21"/>
              </w:rPr>
              <w:tab/>
              <w:t>设备安装必须具有可靠的接地</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6.</w:t>
            </w:r>
            <w:r w:rsidRPr="003A4DD1">
              <w:rPr>
                <w:rFonts w:ascii="宋体" w:eastAsia="宋体" w:hAnsi="宋体" w:cs="Arial" w:hint="eastAsia"/>
                <w:szCs w:val="21"/>
              </w:rPr>
              <w:tab/>
              <w:t>相应的功能</w:t>
            </w:r>
            <w:proofErr w:type="gramStart"/>
            <w:r w:rsidRPr="003A4DD1">
              <w:rPr>
                <w:rFonts w:ascii="宋体" w:eastAsia="宋体" w:hAnsi="宋体" w:cs="Arial" w:hint="eastAsia"/>
                <w:szCs w:val="21"/>
              </w:rPr>
              <w:t>段设置</w:t>
            </w:r>
            <w:proofErr w:type="gramEnd"/>
            <w:r w:rsidRPr="003A4DD1">
              <w:rPr>
                <w:rFonts w:ascii="宋体" w:eastAsia="宋体" w:hAnsi="宋体" w:cs="Arial" w:hint="eastAsia"/>
                <w:szCs w:val="21"/>
              </w:rPr>
              <w:t>低压LED照明灯</w:t>
            </w:r>
          </w:p>
          <w:p w:rsidR="00F26324"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17.</w:t>
            </w:r>
            <w:r w:rsidRPr="003A4DD1">
              <w:rPr>
                <w:rFonts w:ascii="宋体" w:eastAsia="宋体" w:hAnsi="宋体" w:cs="Arial" w:hint="eastAsia"/>
                <w:szCs w:val="21"/>
              </w:rPr>
              <w:tab/>
              <w:t>压缩冷凝段需要含制冷及热泵制冷系统及设备，现场与空气处理段连接，为空气处理段提供冷热源</w:t>
            </w:r>
          </w:p>
          <w:p w:rsidR="00F26324"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18.</w:t>
            </w:r>
            <w:r w:rsidRPr="003A4DD1">
              <w:rPr>
                <w:rFonts w:ascii="宋体" w:eastAsia="宋体" w:hAnsi="宋体" w:cs="Arial" w:hint="eastAsia"/>
                <w:szCs w:val="21"/>
              </w:rPr>
              <w:tab/>
              <w:t>压缩冷凝段需要带自带制冷剂，满足机组使用要求</w:t>
            </w:r>
          </w:p>
          <w:p w:rsidR="00F26324"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19.</w:t>
            </w:r>
            <w:r w:rsidRPr="003A4DD1">
              <w:rPr>
                <w:rFonts w:ascii="宋体" w:eastAsia="宋体" w:hAnsi="宋体" w:cs="Arial" w:hint="eastAsia"/>
                <w:szCs w:val="21"/>
              </w:rPr>
              <w:tab/>
              <w:t>机组控制器带有RS485 接口以及MODBUS 协议，能实施远程监控</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20.</w:t>
            </w:r>
            <w:r w:rsidRPr="003A4DD1">
              <w:rPr>
                <w:rFonts w:ascii="宋体" w:eastAsia="宋体" w:hAnsi="宋体" w:cs="Arial" w:hint="eastAsia"/>
                <w:szCs w:val="21"/>
              </w:rPr>
              <w:tab/>
              <w:t>箱体面板采用模块化设计，为方便现场拼装与拆卸，每块面板均可拆卸</w:t>
            </w:r>
          </w:p>
          <w:p w:rsidR="00F26324" w:rsidRPr="00F26324" w:rsidRDefault="00F26324" w:rsidP="00F26324">
            <w:pPr>
              <w:kinsoku w:val="0"/>
              <w:wordWrap w:val="0"/>
              <w:overflowPunct w:val="0"/>
              <w:autoSpaceDE w:val="0"/>
              <w:autoSpaceDN w:val="0"/>
              <w:jc w:val="left"/>
              <w:rPr>
                <w:rFonts w:ascii="宋体" w:eastAsia="宋体" w:hAnsi="宋体" w:cs="Arial" w:hint="eastAsia"/>
                <w:szCs w:val="21"/>
              </w:rPr>
            </w:pP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21.</w:t>
            </w:r>
            <w:r w:rsidRPr="003A4DD1">
              <w:rPr>
                <w:rFonts w:ascii="宋体" w:eastAsia="宋体" w:hAnsi="宋体" w:cs="Arial" w:hint="eastAsia"/>
                <w:szCs w:val="21"/>
              </w:rPr>
              <w:tab/>
              <w:t>箱体面板拼接处采用浮雕铝合金包角进行处理，进步防止漏风</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22.</w:t>
            </w:r>
            <w:r w:rsidRPr="003A4DD1">
              <w:rPr>
                <w:rFonts w:ascii="宋体" w:eastAsia="宋体" w:hAnsi="宋体" w:cs="Arial" w:hint="eastAsia"/>
                <w:szCs w:val="21"/>
              </w:rPr>
              <w:tab/>
              <w:t>箱体面板采用内、外钢板中间充注25mm厚度</w:t>
            </w:r>
            <w:proofErr w:type="gramStart"/>
            <w:r w:rsidRPr="003A4DD1">
              <w:rPr>
                <w:rFonts w:ascii="宋体" w:eastAsia="宋体" w:hAnsi="宋体" w:cs="Arial" w:hint="eastAsia"/>
                <w:szCs w:val="21"/>
              </w:rPr>
              <w:t>硬质非燃性</w:t>
            </w:r>
            <w:proofErr w:type="gramEnd"/>
            <w:r w:rsidRPr="003A4DD1">
              <w:rPr>
                <w:rFonts w:ascii="宋体" w:eastAsia="宋体" w:hAnsi="宋体" w:cs="Arial" w:hint="eastAsia"/>
                <w:szCs w:val="21"/>
              </w:rPr>
              <w:t>或自熄性聚氨酯发泡材料，密度不得小于48kg/m3，面板绝热材料的导热系数不得高于0.0199 w•k-1•m-1</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23.</w:t>
            </w:r>
            <w:r w:rsidRPr="003A4DD1">
              <w:rPr>
                <w:rFonts w:ascii="宋体" w:eastAsia="宋体" w:hAnsi="宋体" w:cs="Arial" w:hint="eastAsia"/>
                <w:szCs w:val="21"/>
              </w:rPr>
              <w:tab/>
              <w:t>箱体面板总厚度不得小于25mm, 外板采用覆膜彩钢板，板厚不得低于0.5mm,内板采用镀锌钢板或不锈钢板，板厚不得低于0.5mm</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24.</w:t>
            </w:r>
            <w:r w:rsidRPr="003A4DD1">
              <w:rPr>
                <w:rFonts w:ascii="宋体" w:eastAsia="宋体" w:hAnsi="宋体" w:cs="Arial" w:hint="eastAsia"/>
                <w:szCs w:val="21"/>
              </w:rPr>
              <w:tab/>
              <w:t>机组必须有防冷桥措施，机组在运行时，不得出现冷桥和凝露现象。按照欧洲标准EN1886-2007规定方法测试，机组冷桥因子应达到欧洲标准的TB1级且不得低于0.75，面板的传热系数应达到欧洲标准的T2级且不得高于0.9 w•k-1•m-2</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25.</w:t>
            </w:r>
            <w:r w:rsidRPr="003A4DD1">
              <w:rPr>
                <w:rFonts w:ascii="宋体" w:eastAsia="宋体" w:hAnsi="宋体" w:cs="Arial" w:hint="eastAsia"/>
                <w:szCs w:val="21"/>
              </w:rPr>
              <w:tab/>
              <w:t>当机组内静压保持正压1000Pa时，机组的漏风率不得大于0.4%</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26.</w:t>
            </w:r>
            <w:r w:rsidRPr="003A4DD1">
              <w:rPr>
                <w:rFonts w:ascii="宋体" w:eastAsia="宋体" w:hAnsi="宋体" w:cs="Arial" w:hint="eastAsia"/>
                <w:szCs w:val="21"/>
              </w:rPr>
              <w:tab/>
              <w:t>按照欧洲标准EN1886-2007规定方法测试，机组箱体强度等级应达到D1级</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27.</w:t>
            </w:r>
            <w:r w:rsidRPr="003A4DD1">
              <w:rPr>
                <w:rFonts w:ascii="宋体" w:eastAsia="宋体" w:hAnsi="宋体" w:cs="Arial" w:hint="eastAsia"/>
                <w:szCs w:val="21"/>
              </w:rPr>
              <w:tab/>
              <w:t>机组箱体横向断面风速应均匀，按照GB/T14294-2008《组合式空调机组》标准检测，机组断面风速均匀度不得低于90%</w:t>
            </w:r>
          </w:p>
          <w:p w:rsidR="00F26324" w:rsidRPr="00F26324"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28.</w:t>
            </w:r>
            <w:r w:rsidRPr="003A4DD1">
              <w:rPr>
                <w:rFonts w:ascii="宋体" w:eastAsia="宋体" w:hAnsi="宋体" w:cs="Arial" w:hint="eastAsia"/>
                <w:szCs w:val="21"/>
              </w:rPr>
              <w:tab/>
              <w:t>箱体应具有良好的气密性，按照GB/T14294-2008《组合式空调机组》标准检测，当机组内静压保持正压1000Pa时，机组的漏风率不得大于0.4%。按照欧洲标准EN1886-2007规定方法测试，漏风率应达到L1级。</w:t>
            </w:r>
          </w:p>
          <w:p w:rsidR="00F26324" w:rsidRDefault="00F26324" w:rsidP="00F26324">
            <w:pPr>
              <w:kinsoku w:val="0"/>
              <w:wordWrap w:val="0"/>
              <w:overflowPunct w:val="0"/>
              <w:autoSpaceDE w:val="0"/>
              <w:autoSpaceDN w:val="0"/>
              <w:jc w:val="left"/>
              <w:rPr>
                <w:rFonts w:ascii="宋体" w:eastAsia="宋体" w:hAnsi="宋体" w:cs="Arial" w:hint="eastAsia"/>
                <w:szCs w:val="21"/>
              </w:rPr>
            </w:pPr>
          </w:p>
          <w:p w:rsidR="00F26324" w:rsidRDefault="00F26324" w:rsidP="00F26324">
            <w:pPr>
              <w:kinsoku w:val="0"/>
              <w:wordWrap w:val="0"/>
              <w:overflowPunct w:val="0"/>
              <w:autoSpaceDE w:val="0"/>
              <w:autoSpaceDN w:val="0"/>
              <w:jc w:val="left"/>
              <w:rPr>
                <w:rFonts w:ascii="宋体" w:eastAsia="宋体" w:hAnsi="宋体" w:cs="Arial" w:hint="eastAsia"/>
                <w:szCs w:val="21"/>
              </w:rPr>
            </w:pPr>
          </w:p>
          <w:p w:rsidR="00F26324" w:rsidRDefault="00F26324" w:rsidP="00F26324">
            <w:pPr>
              <w:kinsoku w:val="0"/>
              <w:wordWrap w:val="0"/>
              <w:overflowPunct w:val="0"/>
              <w:autoSpaceDE w:val="0"/>
              <w:autoSpaceDN w:val="0"/>
              <w:jc w:val="left"/>
              <w:rPr>
                <w:rFonts w:ascii="宋体" w:eastAsia="宋体" w:hAnsi="宋体" w:cs="Arial" w:hint="eastAsia"/>
                <w:szCs w:val="21"/>
              </w:rPr>
            </w:pPr>
          </w:p>
          <w:p w:rsidR="00F26324" w:rsidRDefault="00F26324" w:rsidP="00F26324">
            <w:pPr>
              <w:kinsoku w:val="0"/>
              <w:wordWrap w:val="0"/>
              <w:overflowPunct w:val="0"/>
              <w:autoSpaceDE w:val="0"/>
              <w:autoSpaceDN w:val="0"/>
              <w:jc w:val="left"/>
              <w:rPr>
                <w:rFonts w:ascii="宋体" w:eastAsia="宋体" w:hAnsi="宋体" w:cs="Arial" w:hint="eastAsia"/>
                <w:szCs w:val="21"/>
              </w:rPr>
            </w:pPr>
          </w:p>
          <w:p w:rsidR="00F26324" w:rsidRDefault="00F26324" w:rsidP="00F26324">
            <w:pPr>
              <w:kinsoku w:val="0"/>
              <w:wordWrap w:val="0"/>
              <w:overflowPunct w:val="0"/>
              <w:autoSpaceDE w:val="0"/>
              <w:autoSpaceDN w:val="0"/>
              <w:jc w:val="left"/>
              <w:rPr>
                <w:rFonts w:ascii="宋体" w:eastAsia="宋体" w:hAnsi="宋体" w:cs="Arial" w:hint="eastAsia"/>
                <w:szCs w:val="21"/>
              </w:rPr>
            </w:pPr>
          </w:p>
          <w:p w:rsidR="00F26324" w:rsidRPr="00F26324" w:rsidRDefault="00F26324" w:rsidP="00F26324">
            <w:pPr>
              <w:kinsoku w:val="0"/>
              <w:wordWrap w:val="0"/>
              <w:overflowPunct w:val="0"/>
              <w:autoSpaceDE w:val="0"/>
              <w:autoSpaceDN w:val="0"/>
              <w:jc w:val="left"/>
              <w:rPr>
                <w:rFonts w:ascii="宋体" w:eastAsia="宋体" w:hAnsi="宋体" w:cs="Arial" w:hint="eastAsia"/>
                <w:szCs w:val="21"/>
              </w:rPr>
            </w:pPr>
          </w:p>
          <w:p w:rsidR="00F26324" w:rsidRDefault="00F26324" w:rsidP="00F26324">
            <w:pPr>
              <w:kinsoku w:val="0"/>
              <w:wordWrap w:val="0"/>
              <w:overflowPunct w:val="0"/>
              <w:autoSpaceDE w:val="0"/>
              <w:autoSpaceDN w:val="0"/>
              <w:jc w:val="left"/>
              <w:rPr>
                <w:rFonts w:ascii="宋体" w:eastAsia="宋体" w:hAnsi="宋体" w:cs="Arial" w:hint="eastAsia"/>
                <w:szCs w:val="21"/>
              </w:rPr>
            </w:pPr>
          </w:p>
          <w:p w:rsidR="00F26324" w:rsidRPr="00F26324" w:rsidRDefault="00F26324" w:rsidP="00F26324">
            <w:pPr>
              <w:kinsoku w:val="0"/>
              <w:wordWrap w:val="0"/>
              <w:overflowPunct w:val="0"/>
              <w:autoSpaceDE w:val="0"/>
              <w:autoSpaceDN w:val="0"/>
              <w:jc w:val="left"/>
              <w:rPr>
                <w:rFonts w:ascii="宋体" w:eastAsia="宋体" w:hAnsi="宋体" w:cs="Arial" w:hint="eastAsia"/>
                <w:szCs w:val="21"/>
              </w:rPr>
            </w:pPr>
          </w:p>
        </w:tc>
        <w:tc>
          <w:tcPr>
            <w:tcW w:w="1418" w:type="dxa"/>
            <w:vAlign w:val="center"/>
          </w:tcPr>
          <w:p w:rsidR="00F26324" w:rsidRPr="00A9037A" w:rsidRDefault="00F26324" w:rsidP="008E5221">
            <w:pPr>
              <w:kinsoku w:val="0"/>
              <w:overflowPunct w:val="0"/>
              <w:autoSpaceDE w:val="0"/>
              <w:autoSpaceDN w:val="0"/>
              <w:jc w:val="center"/>
              <w:rPr>
                <w:rFonts w:ascii="宋体" w:eastAsia="宋体" w:hAnsi="宋体" w:cs="Times New Roman" w:hint="eastAsia"/>
                <w:b/>
                <w:spacing w:val="-20"/>
                <w:szCs w:val="21"/>
              </w:rPr>
            </w:pPr>
          </w:p>
        </w:tc>
      </w:tr>
      <w:tr w:rsidR="00F26324" w:rsidRPr="00A9037A" w:rsidTr="00085AD9">
        <w:trPr>
          <w:trHeight w:val="612"/>
          <w:tblHeader/>
        </w:trPr>
        <w:tc>
          <w:tcPr>
            <w:tcW w:w="637" w:type="dxa"/>
            <w:vAlign w:val="center"/>
          </w:tcPr>
          <w:p w:rsidR="00F26324" w:rsidRPr="00A9037A" w:rsidRDefault="00F26324" w:rsidP="008E5221">
            <w:pPr>
              <w:kinsoku w:val="0"/>
              <w:overflowPunct w:val="0"/>
              <w:autoSpaceDE w:val="0"/>
              <w:autoSpaceDN w:val="0"/>
              <w:jc w:val="center"/>
              <w:rPr>
                <w:rFonts w:ascii="宋体" w:eastAsia="宋体" w:hAnsi="宋体" w:cs="Times New Roman" w:hint="eastAsia"/>
                <w:b/>
                <w:szCs w:val="21"/>
              </w:rPr>
            </w:pPr>
          </w:p>
        </w:tc>
        <w:tc>
          <w:tcPr>
            <w:tcW w:w="1314" w:type="dxa"/>
            <w:vAlign w:val="center"/>
          </w:tcPr>
          <w:p w:rsidR="00F26324" w:rsidRPr="00A9037A" w:rsidRDefault="00F26324" w:rsidP="008E5221">
            <w:pPr>
              <w:widowControl/>
              <w:jc w:val="center"/>
              <w:rPr>
                <w:rFonts w:ascii="宋体" w:eastAsia="宋体" w:hAnsi="宋体" w:cs="Times New Roman"/>
                <w:b/>
                <w:spacing w:val="-20"/>
                <w:szCs w:val="21"/>
              </w:rPr>
            </w:pPr>
          </w:p>
        </w:tc>
        <w:tc>
          <w:tcPr>
            <w:tcW w:w="851" w:type="dxa"/>
            <w:shd w:val="clear" w:color="auto" w:fill="auto"/>
            <w:vAlign w:val="center"/>
          </w:tcPr>
          <w:p w:rsidR="00F26324" w:rsidRPr="00A9037A" w:rsidRDefault="00F26324" w:rsidP="008E5221">
            <w:pPr>
              <w:widowControl/>
              <w:jc w:val="center"/>
              <w:rPr>
                <w:rFonts w:ascii="宋体" w:eastAsia="宋体" w:hAnsi="宋体" w:cs="Times New Roman"/>
                <w:b/>
                <w:spacing w:val="-20"/>
                <w:szCs w:val="21"/>
              </w:rPr>
            </w:pPr>
          </w:p>
        </w:tc>
        <w:tc>
          <w:tcPr>
            <w:tcW w:w="1559" w:type="dxa"/>
            <w:shd w:val="clear" w:color="auto" w:fill="auto"/>
            <w:vAlign w:val="center"/>
          </w:tcPr>
          <w:p w:rsidR="00F26324" w:rsidRPr="00A9037A" w:rsidRDefault="00F26324" w:rsidP="008E5221">
            <w:pPr>
              <w:widowControl/>
              <w:jc w:val="center"/>
              <w:rPr>
                <w:rFonts w:ascii="宋体" w:eastAsia="宋体" w:hAnsi="宋体" w:cs="Times New Roman"/>
                <w:b/>
                <w:spacing w:val="-20"/>
                <w:szCs w:val="21"/>
              </w:rPr>
            </w:pPr>
          </w:p>
        </w:tc>
        <w:tc>
          <w:tcPr>
            <w:tcW w:w="8363" w:type="dxa"/>
            <w:shd w:val="clear" w:color="auto" w:fill="auto"/>
            <w:vAlign w:val="center"/>
          </w:tcPr>
          <w:p w:rsidR="00F26324" w:rsidRPr="003A4DD1" w:rsidRDefault="00F26324" w:rsidP="00085AD9">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29.</w:t>
            </w:r>
            <w:r w:rsidRPr="003A4DD1">
              <w:rPr>
                <w:rFonts w:ascii="宋体" w:eastAsia="宋体" w:hAnsi="宋体" w:cs="Arial" w:hint="eastAsia"/>
                <w:szCs w:val="21"/>
              </w:rPr>
              <w:tab/>
              <w:t>风机段、</w:t>
            </w:r>
            <w:proofErr w:type="gramStart"/>
            <w:r w:rsidRPr="003A4DD1">
              <w:rPr>
                <w:rFonts w:ascii="宋体" w:eastAsia="宋体" w:hAnsi="宋体" w:cs="Arial" w:hint="eastAsia"/>
                <w:szCs w:val="21"/>
              </w:rPr>
              <w:t>加湿段以及</w:t>
            </w:r>
            <w:proofErr w:type="gramEnd"/>
            <w:r w:rsidRPr="003A4DD1">
              <w:rPr>
                <w:rFonts w:ascii="宋体" w:eastAsia="宋体" w:hAnsi="宋体" w:cs="Arial" w:hint="eastAsia"/>
                <w:szCs w:val="21"/>
              </w:rPr>
              <w:t>其他需要的地方安装直径不小于180mm的钢化玻璃观察窗</w:t>
            </w:r>
          </w:p>
          <w:p w:rsidR="00F26324" w:rsidRPr="003A4DD1" w:rsidRDefault="00F26324" w:rsidP="00085AD9">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30.</w:t>
            </w:r>
            <w:r w:rsidRPr="003A4DD1">
              <w:rPr>
                <w:rFonts w:ascii="宋体" w:eastAsia="宋体" w:hAnsi="宋体" w:cs="Arial" w:hint="eastAsia"/>
                <w:szCs w:val="21"/>
              </w:rPr>
              <w:tab/>
              <w:t>换热管采用优质磷脱氧无缝紫铜管，铜管壁</w:t>
            </w:r>
            <w:proofErr w:type="gramStart"/>
            <w:r w:rsidRPr="003A4DD1">
              <w:rPr>
                <w:rFonts w:ascii="宋体" w:eastAsia="宋体" w:hAnsi="宋体" w:cs="Arial" w:hint="eastAsia"/>
                <w:szCs w:val="21"/>
              </w:rPr>
              <w:t>厚不得</w:t>
            </w:r>
            <w:proofErr w:type="gramEnd"/>
            <w:r w:rsidRPr="003A4DD1">
              <w:rPr>
                <w:rFonts w:ascii="宋体" w:eastAsia="宋体" w:hAnsi="宋体" w:cs="Arial" w:hint="eastAsia"/>
                <w:szCs w:val="21"/>
              </w:rPr>
              <w:t>小于0.32mm，镀亲水膜铝箔片壁厚不低于0.13mm，总管采用无缝钢管或紫铜管</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Pr>
                <w:rFonts w:ascii="宋体" w:eastAsia="宋体" w:hAnsi="宋体" w:cs="Arial" w:hint="eastAsia"/>
                <w:szCs w:val="21"/>
              </w:rPr>
              <w:t>31.</w:t>
            </w:r>
            <w:r w:rsidRPr="003A4DD1">
              <w:rPr>
                <w:rFonts w:ascii="宋体" w:eastAsia="宋体" w:hAnsi="宋体" w:cs="Arial" w:hint="eastAsia"/>
                <w:szCs w:val="21"/>
              </w:rPr>
              <w:t>空气处理机组冷却盘管迎面风速应合理设计，以防止夹带冷凝水。盘管迎面风速建议不超过2.5m/s，若超过2.75m/s，需加挡水板或其它盘管防漂水处理措施。若设置挡水板。挡水板采用铝合金或304不锈钢材料。</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32.</w:t>
            </w:r>
            <w:r w:rsidRPr="003A4DD1">
              <w:rPr>
                <w:rFonts w:ascii="宋体" w:eastAsia="宋体" w:hAnsi="宋体" w:cs="Arial" w:hint="eastAsia"/>
                <w:szCs w:val="21"/>
              </w:rPr>
              <w:tab/>
              <w:t>蒸发盘管设计工作压力不低于4.2MPa，且每台均需经过4.2MPa的高压氮气检漏及严格的气密性试验。</w:t>
            </w:r>
          </w:p>
          <w:p w:rsidR="00F26324" w:rsidRPr="003A4DD1" w:rsidRDefault="00F26324" w:rsidP="00F26324">
            <w:pPr>
              <w:kinsoku w:val="0"/>
              <w:wordWrap w:val="0"/>
              <w:overflowPunct w:val="0"/>
              <w:autoSpaceDE w:val="0"/>
              <w:autoSpaceDN w:val="0"/>
              <w:jc w:val="left"/>
              <w:rPr>
                <w:rFonts w:ascii="宋体" w:eastAsia="宋体" w:hAnsi="宋体" w:cs="Arial" w:hint="eastAsia"/>
                <w:szCs w:val="21"/>
              </w:rPr>
            </w:pPr>
            <w:r w:rsidRPr="003A4DD1">
              <w:rPr>
                <w:rFonts w:ascii="宋体" w:eastAsia="宋体" w:hAnsi="宋体" w:cs="Arial" w:hint="eastAsia"/>
                <w:szCs w:val="21"/>
              </w:rPr>
              <w:t>33.</w:t>
            </w:r>
            <w:r w:rsidRPr="003A4DD1">
              <w:rPr>
                <w:rFonts w:ascii="宋体" w:eastAsia="宋体" w:hAnsi="宋体" w:cs="Arial" w:hint="eastAsia"/>
                <w:szCs w:val="21"/>
              </w:rPr>
              <w:tab/>
              <w:t>风机轴承设计使用寿命不得低于50000小时</w:t>
            </w:r>
          </w:p>
          <w:p w:rsidR="00F26324" w:rsidRPr="00F26324" w:rsidRDefault="00F26324" w:rsidP="00F26324">
            <w:pPr>
              <w:widowControl/>
              <w:rPr>
                <w:rFonts w:ascii="宋体" w:eastAsia="宋体" w:hAnsi="宋体" w:cs="Times New Roman" w:hint="eastAsia"/>
                <w:b/>
                <w:spacing w:val="-20"/>
                <w:szCs w:val="21"/>
              </w:rPr>
            </w:pPr>
            <w:r w:rsidRPr="003A4DD1">
              <w:rPr>
                <w:rFonts w:ascii="宋体" w:eastAsia="宋体" w:hAnsi="宋体" w:cs="Arial" w:hint="eastAsia"/>
                <w:szCs w:val="21"/>
              </w:rPr>
              <w:t>34.</w:t>
            </w:r>
            <w:r w:rsidRPr="003A4DD1">
              <w:rPr>
                <w:rFonts w:ascii="宋体" w:eastAsia="宋体" w:hAnsi="宋体" w:cs="Arial" w:hint="eastAsia"/>
                <w:szCs w:val="21"/>
              </w:rPr>
              <w:tab/>
              <w:t>电机绝缘等级不低于F级，防护等级不低于IP55</w:t>
            </w:r>
          </w:p>
        </w:tc>
        <w:tc>
          <w:tcPr>
            <w:tcW w:w="1418" w:type="dxa"/>
            <w:vAlign w:val="center"/>
          </w:tcPr>
          <w:p w:rsidR="00F26324" w:rsidRPr="00A9037A" w:rsidRDefault="00F26324" w:rsidP="008E5221">
            <w:pPr>
              <w:kinsoku w:val="0"/>
              <w:overflowPunct w:val="0"/>
              <w:autoSpaceDE w:val="0"/>
              <w:autoSpaceDN w:val="0"/>
              <w:jc w:val="center"/>
              <w:rPr>
                <w:rFonts w:ascii="宋体" w:eastAsia="宋体" w:hAnsi="宋体" w:cs="Times New Roman" w:hint="eastAsia"/>
                <w:b/>
                <w:spacing w:val="-20"/>
                <w:szCs w:val="21"/>
              </w:rPr>
            </w:pPr>
          </w:p>
        </w:tc>
      </w:tr>
      <w:tr w:rsidR="00F26324" w:rsidRPr="00A9037A" w:rsidTr="00085AD9">
        <w:trPr>
          <w:trHeight w:val="612"/>
          <w:tblHeader/>
        </w:trPr>
        <w:tc>
          <w:tcPr>
            <w:tcW w:w="637" w:type="dxa"/>
            <w:vAlign w:val="center"/>
          </w:tcPr>
          <w:p w:rsidR="00F26324" w:rsidRPr="00A9037A" w:rsidRDefault="00F26324" w:rsidP="008E5221">
            <w:pPr>
              <w:kinsoku w:val="0"/>
              <w:overflowPunct w:val="0"/>
              <w:autoSpaceDE w:val="0"/>
              <w:autoSpaceDN w:val="0"/>
              <w:jc w:val="center"/>
              <w:rPr>
                <w:rFonts w:ascii="宋体" w:eastAsia="宋体" w:hAnsi="宋体" w:cs="Times New Roman" w:hint="eastAsia"/>
                <w:b/>
                <w:szCs w:val="21"/>
              </w:rPr>
            </w:pPr>
            <w:r>
              <w:rPr>
                <w:rFonts w:ascii="宋体" w:eastAsia="宋体" w:hAnsi="宋体" w:cs="Times New Roman" w:hint="eastAsia"/>
                <w:b/>
                <w:szCs w:val="21"/>
              </w:rPr>
              <w:t>2</w:t>
            </w:r>
          </w:p>
        </w:tc>
        <w:tc>
          <w:tcPr>
            <w:tcW w:w="1314" w:type="dxa"/>
            <w:vAlign w:val="center"/>
          </w:tcPr>
          <w:p w:rsidR="00F26324" w:rsidRDefault="00F26324" w:rsidP="008E5221">
            <w:pPr>
              <w:jc w:val="center"/>
              <w:rPr>
                <w:b/>
                <w:szCs w:val="21"/>
              </w:rPr>
            </w:pPr>
            <w:r>
              <w:rPr>
                <w:rFonts w:hint="eastAsia"/>
                <w:b/>
                <w:szCs w:val="21"/>
              </w:rPr>
              <w:t>通风橱</w:t>
            </w:r>
          </w:p>
        </w:tc>
        <w:tc>
          <w:tcPr>
            <w:tcW w:w="851" w:type="dxa"/>
            <w:shd w:val="clear" w:color="auto" w:fill="auto"/>
            <w:vAlign w:val="center"/>
          </w:tcPr>
          <w:p w:rsidR="00F26324" w:rsidRDefault="00F26324" w:rsidP="008E5221">
            <w:pPr>
              <w:kinsoku w:val="0"/>
              <w:overflowPunct w:val="0"/>
              <w:autoSpaceDE w:val="0"/>
              <w:autoSpaceDN w:val="0"/>
              <w:jc w:val="left"/>
              <w:rPr>
                <w:szCs w:val="21"/>
              </w:rPr>
            </w:pPr>
            <w:proofErr w:type="gramStart"/>
            <w:r>
              <w:rPr>
                <w:rFonts w:hint="eastAsia"/>
                <w:szCs w:val="21"/>
              </w:rPr>
              <w:t>泰欣特</w:t>
            </w:r>
            <w:proofErr w:type="gramEnd"/>
          </w:p>
        </w:tc>
        <w:tc>
          <w:tcPr>
            <w:tcW w:w="1559" w:type="dxa"/>
            <w:shd w:val="clear" w:color="auto" w:fill="auto"/>
            <w:vAlign w:val="center"/>
          </w:tcPr>
          <w:p w:rsidR="00F26324" w:rsidRDefault="00F26324" w:rsidP="008E5221">
            <w:pPr>
              <w:kinsoku w:val="0"/>
              <w:overflowPunct w:val="0"/>
              <w:autoSpaceDE w:val="0"/>
              <w:autoSpaceDN w:val="0"/>
              <w:jc w:val="left"/>
              <w:rPr>
                <w:szCs w:val="21"/>
              </w:rPr>
            </w:pPr>
            <w:r w:rsidRPr="005470C8">
              <w:rPr>
                <w:rFonts w:hint="eastAsia"/>
                <w:szCs w:val="21"/>
              </w:rPr>
              <w:t>TXT-TF-</w:t>
            </w:r>
            <w:r w:rsidRPr="005470C8">
              <w:rPr>
                <w:szCs w:val="21"/>
              </w:rPr>
              <w:fldChar w:fldCharType="begin"/>
            </w:r>
            <w:r w:rsidRPr="005470C8">
              <w:rPr>
                <w:szCs w:val="21"/>
              </w:rPr>
              <w:instrText xml:space="preserve"> </w:instrText>
            </w:r>
            <w:r w:rsidRPr="005470C8">
              <w:rPr>
                <w:rFonts w:hint="eastAsia"/>
                <w:szCs w:val="21"/>
              </w:rPr>
              <w:instrText>= 2 \* ROMAN</w:instrText>
            </w:r>
            <w:r w:rsidRPr="005470C8">
              <w:rPr>
                <w:szCs w:val="21"/>
              </w:rPr>
              <w:instrText xml:space="preserve"> </w:instrText>
            </w:r>
            <w:r w:rsidRPr="005470C8">
              <w:rPr>
                <w:szCs w:val="21"/>
              </w:rPr>
              <w:fldChar w:fldCharType="separate"/>
            </w:r>
            <w:r w:rsidRPr="005470C8">
              <w:rPr>
                <w:szCs w:val="21"/>
              </w:rPr>
              <w:t>II</w:t>
            </w:r>
            <w:r w:rsidRPr="005470C8">
              <w:rPr>
                <w:szCs w:val="21"/>
              </w:rPr>
              <w:fldChar w:fldCharType="end"/>
            </w:r>
          </w:p>
        </w:tc>
        <w:tc>
          <w:tcPr>
            <w:tcW w:w="8363" w:type="dxa"/>
            <w:shd w:val="clear" w:color="auto" w:fill="auto"/>
            <w:vAlign w:val="center"/>
          </w:tcPr>
          <w:p w:rsidR="00F26324" w:rsidRPr="00B27B49"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1.</w:t>
            </w:r>
            <w:r w:rsidRPr="00B27B49">
              <w:rPr>
                <w:rFonts w:ascii="宋体" w:hAnsi="宋体" w:cs="Arial" w:hint="eastAsia"/>
                <w:szCs w:val="21"/>
              </w:rPr>
              <w:tab/>
              <w:t>尺寸：1800*800*2350mm2.</w:t>
            </w:r>
            <w:r w:rsidRPr="00B27B49">
              <w:rPr>
                <w:rFonts w:ascii="宋体" w:hAnsi="宋体" w:cs="Arial" w:hint="eastAsia"/>
                <w:szCs w:val="21"/>
              </w:rPr>
              <w:tab/>
              <w:t>全钢结构</w:t>
            </w:r>
          </w:p>
          <w:p w:rsidR="00F26324" w:rsidRPr="00B27B49"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3.</w:t>
            </w:r>
            <w:r w:rsidRPr="00B27B49">
              <w:rPr>
                <w:rFonts w:ascii="宋体" w:hAnsi="宋体" w:cs="Arial" w:hint="eastAsia"/>
                <w:szCs w:val="21"/>
              </w:rPr>
              <w:tab/>
              <w:t>台面：采用20mm厚的</w:t>
            </w:r>
            <w:proofErr w:type="gramStart"/>
            <w:r w:rsidRPr="00B27B49">
              <w:rPr>
                <w:rFonts w:ascii="宋体" w:hAnsi="宋体" w:cs="Arial" w:hint="eastAsia"/>
                <w:szCs w:val="21"/>
              </w:rPr>
              <w:t>陶瓷板耐高温</w:t>
            </w:r>
            <w:proofErr w:type="gramEnd"/>
            <w:r w:rsidRPr="00B27B49">
              <w:rPr>
                <w:rFonts w:ascii="宋体" w:hAnsi="宋体" w:cs="Arial" w:hint="eastAsia"/>
                <w:szCs w:val="21"/>
              </w:rPr>
              <w:t>，防腐蚀、抗冲击及耐磨损，易于清洁和维护</w:t>
            </w:r>
          </w:p>
          <w:p w:rsidR="00F26324" w:rsidRPr="00B27B49"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4.</w:t>
            </w:r>
            <w:r w:rsidRPr="00B27B49">
              <w:rPr>
                <w:rFonts w:ascii="宋体" w:hAnsi="宋体" w:cs="Arial" w:hint="eastAsia"/>
                <w:szCs w:val="21"/>
              </w:rPr>
              <w:tab/>
              <w:t>柜体主体采用1.2MM冷轧钢板</w:t>
            </w:r>
          </w:p>
          <w:p w:rsidR="00F26324" w:rsidRPr="00B27B49"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5.</w:t>
            </w:r>
            <w:r w:rsidRPr="00B27B49">
              <w:rPr>
                <w:rFonts w:ascii="宋体" w:hAnsi="宋体" w:cs="Arial" w:hint="eastAsia"/>
                <w:szCs w:val="21"/>
              </w:rPr>
              <w:tab/>
              <w:t>特殊承重部位采用1.0～1.2MM冷扎板</w:t>
            </w:r>
          </w:p>
          <w:p w:rsidR="00F26324" w:rsidRPr="00B27B49"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6.</w:t>
            </w:r>
            <w:r w:rsidRPr="00B27B49">
              <w:rPr>
                <w:rFonts w:ascii="宋体" w:hAnsi="宋体" w:cs="Arial" w:hint="eastAsia"/>
                <w:szCs w:val="21"/>
              </w:rPr>
              <w:tab/>
              <w:t>静电粉沫喷涂EPOXY防护</w:t>
            </w:r>
            <w:proofErr w:type="gramStart"/>
            <w:r w:rsidRPr="00B27B49">
              <w:rPr>
                <w:rFonts w:ascii="宋体" w:hAnsi="宋体" w:cs="Arial" w:hint="eastAsia"/>
                <w:szCs w:val="21"/>
              </w:rPr>
              <w:t>层做耐酸碱耐</w:t>
            </w:r>
            <w:proofErr w:type="gramEnd"/>
            <w:r w:rsidRPr="00B27B49">
              <w:rPr>
                <w:rFonts w:ascii="宋体" w:hAnsi="宋体" w:cs="Arial" w:hint="eastAsia"/>
                <w:szCs w:val="21"/>
              </w:rPr>
              <w:t>腐蚀表面处理</w:t>
            </w:r>
          </w:p>
          <w:p w:rsidR="00F26324" w:rsidRPr="00944283"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7.</w:t>
            </w:r>
            <w:r w:rsidRPr="00B27B49">
              <w:rPr>
                <w:rFonts w:ascii="宋体" w:hAnsi="宋体" w:cs="Arial" w:hint="eastAsia"/>
                <w:szCs w:val="21"/>
              </w:rPr>
              <w:tab/>
              <w:t>通风柜防护设施：采用6mm厚钢化玻璃视窗</w:t>
            </w:r>
          </w:p>
        </w:tc>
        <w:tc>
          <w:tcPr>
            <w:tcW w:w="1418" w:type="dxa"/>
            <w:vAlign w:val="center"/>
          </w:tcPr>
          <w:p w:rsidR="00F26324" w:rsidRPr="00A9037A" w:rsidRDefault="00F26324" w:rsidP="008E5221">
            <w:pPr>
              <w:kinsoku w:val="0"/>
              <w:overflowPunct w:val="0"/>
              <w:autoSpaceDE w:val="0"/>
              <w:autoSpaceDN w:val="0"/>
              <w:jc w:val="center"/>
              <w:rPr>
                <w:rFonts w:ascii="宋体" w:eastAsia="宋体" w:hAnsi="宋体" w:cs="Times New Roman" w:hint="eastAsia"/>
                <w:b/>
                <w:spacing w:val="-20"/>
                <w:szCs w:val="21"/>
              </w:rPr>
            </w:pPr>
            <w:r>
              <w:rPr>
                <w:rFonts w:ascii="宋体" w:eastAsia="宋体" w:hAnsi="宋体" w:cs="Times New Roman" w:hint="eastAsia"/>
                <w:b/>
                <w:spacing w:val="-20"/>
                <w:szCs w:val="21"/>
              </w:rPr>
              <w:t>1</w:t>
            </w:r>
          </w:p>
        </w:tc>
      </w:tr>
      <w:tr w:rsidR="00F26324" w:rsidRPr="00A9037A" w:rsidTr="00085AD9">
        <w:trPr>
          <w:trHeight w:val="612"/>
          <w:tblHeader/>
        </w:trPr>
        <w:tc>
          <w:tcPr>
            <w:tcW w:w="637" w:type="dxa"/>
            <w:vAlign w:val="center"/>
          </w:tcPr>
          <w:p w:rsidR="00F26324" w:rsidRPr="00A9037A" w:rsidRDefault="00F26324" w:rsidP="008E5221">
            <w:pPr>
              <w:kinsoku w:val="0"/>
              <w:overflowPunct w:val="0"/>
              <w:autoSpaceDE w:val="0"/>
              <w:autoSpaceDN w:val="0"/>
              <w:jc w:val="center"/>
              <w:rPr>
                <w:rFonts w:ascii="宋体" w:eastAsia="宋体" w:hAnsi="宋体" w:cs="Times New Roman" w:hint="eastAsia"/>
                <w:b/>
                <w:szCs w:val="21"/>
              </w:rPr>
            </w:pPr>
            <w:r>
              <w:rPr>
                <w:rFonts w:ascii="宋体" w:eastAsia="宋体" w:hAnsi="宋体" w:cs="Times New Roman" w:hint="eastAsia"/>
                <w:b/>
                <w:szCs w:val="21"/>
              </w:rPr>
              <w:t>3</w:t>
            </w:r>
          </w:p>
        </w:tc>
        <w:tc>
          <w:tcPr>
            <w:tcW w:w="1314" w:type="dxa"/>
            <w:vAlign w:val="center"/>
          </w:tcPr>
          <w:p w:rsidR="00F26324" w:rsidRDefault="00F26324" w:rsidP="008E5221">
            <w:pPr>
              <w:jc w:val="center"/>
              <w:rPr>
                <w:b/>
                <w:szCs w:val="21"/>
              </w:rPr>
            </w:pPr>
            <w:proofErr w:type="gramStart"/>
            <w:r>
              <w:rPr>
                <w:rFonts w:hint="eastAsia"/>
                <w:b/>
                <w:szCs w:val="21"/>
              </w:rPr>
              <w:t>风淋室</w:t>
            </w:r>
            <w:proofErr w:type="gramEnd"/>
          </w:p>
        </w:tc>
        <w:tc>
          <w:tcPr>
            <w:tcW w:w="851" w:type="dxa"/>
            <w:shd w:val="clear" w:color="auto" w:fill="auto"/>
            <w:vAlign w:val="center"/>
          </w:tcPr>
          <w:p w:rsidR="00F26324" w:rsidRDefault="00F26324" w:rsidP="008E5221">
            <w:pPr>
              <w:kinsoku w:val="0"/>
              <w:overflowPunct w:val="0"/>
              <w:autoSpaceDE w:val="0"/>
              <w:autoSpaceDN w:val="0"/>
              <w:jc w:val="left"/>
              <w:rPr>
                <w:szCs w:val="21"/>
              </w:rPr>
            </w:pPr>
            <w:r>
              <w:rPr>
                <w:rFonts w:hint="eastAsia"/>
                <w:szCs w:val="21"/>
              </w:rPr>
              <w:t>林森</w:t>
            </w:r>
          </w:p>
        </w:tc>
        <w:tc>
          <w:tcPr>
            <w:tcW w:w="1559" w:type="dxa"/>
            <w:shd w:val="clear" w:color="auto" w:fill="auto"/>
            <w:vAlign w:val="center"/>
          </w:tcPr>
          <w:p w:rsidR="00F26324" w:rsidRDefault="00F26324" w:rsidP="008E5221">
            <w:pPr>
              <w:kinsoku w:val="0"/>
              <w:overflowPunct w:val="0"/>
              <w:autoSpaceDE w:val="0"/>
              <w:autoSpaceDN w:val="0"/>
              <w:jc w:val="left"/>
              <w:rPr>
                <w:szCs w:val="21"/>
              </w:rPr>
            </w:pPr>
            <w:r>
              <w:rPr>
                <w:rFonts w:hint="eastAsia"/>
                <w:szCs w:val="21"/>
              </w:rPr>
              <w:t>GDPW-FL-2</w:t>
            </w:r>
          </w:p>
        </w:tc>
        <w:tc>
          <w:tcPr>
            <w:tcW w:w="8363" w:type="dxa"/>
            <w:shd w:val="clear" w:color="auto" w:fill="auto"/>
            <w:vAlign w:val="center"/>
          </w:tcPr>
          <w:p w:rsidR="00F26324" w:rsidRPr="00B27B49"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1.</w:t>
            </w:r>
            <w:r w:rsidRPr="00B27B49">
              <w:rPr>
                <w:rFonts w:ascii="宋体" w:hAnsi="宋体" w:cs="Arial" w:hint="eastAsia"/>
                <w:szCs w:val="21"/>
              </w:rPr>
              <w:tab/>
            </w:r>
            <w:proofErr w:type="gramStart"/>
            <w:r w:rsidRPr="00B27B49">
              <w:rPr>
                <w:rFonts w:ascii="宋体" w:hAnsi="宋体" w:cs="Arial" w:hint="eastAsia"/>
                <w:szCs w:val="21"/>
              </w:rPr>
              <w:t>单人双吹直角左转风淋室</w:t>
            </w:r>
            <w:proofErr w:type="gramEnd"/>
            <w:r w:rsidRPr="00B27B49">
              <w:rPr>
                <w:rFonts w:ascii="宋体" w:hAnsi="宋体" w:cs="Arial" w:hint="eastAsia"/>
                <w:szCs w:val="21"/>
              </w:rPr>
              <w:t>,</w:t>
            </w:r>
          </w:p>
          <w:p w:rsidR="00F26324" w:rsidRPr="00B27B49"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2.</w:t>
            </w:r>
            <w:r w:rsidRPr="00B27B49">
              <w:rPr>
                <w:rFonts w:ascii="宋体" w:hAnsi="宋体" w:cs="Arial" w:hint="eastAsia"/>
                <w:szCs w:val="21"/>
              </w:rPr>
              <w:tab/>
              <w:t>尺寸：1200*1000*2180mm（长宽高），</w:t>
            </w:r>
          </w:p>
          <w:p w:rsidR="00F26324" w:rsidRPr="00B27B49"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3.</w:t>
            </w:r>
            <w:r w:rsidRPr="00B27B49">
              <w:rPr>
                <w:rFonts w:ascii="宋体" w:hAnsi="宋体" w:cs="Arial" w:hint="eastAsia"/>
                <w:szCs w:val="21"/>
              </w:rPr>
              <w:tab/>
              <w:t>材质为外冷板多层酸洗静电喷涂</w:t>
            </w:r>
          </w:p>
          <w:p w:rsidR="00F26324" w:rsidRPr="00B27B49"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4.</w:t>
            </w:r>
            <w:r w:rsidRPr="00B27B49">
              <w:rPr>
                <w:rFonts w:ascii="宋体" w:hAnsi="宋体" w:cs="Arial" w:hint="eastAsia"/>
                <w:szCs w:val="21"/>
              </w:rPr>
              <w:tab/>
              <w:t>内胆为304不锈钢</w:t>
            </w:r>
          </w:p>
          <w:p w:rsidR="00F26324" w:rsidRPr="00B27B49"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5.</w:t>
            </w:r>
            <w:r w:rsidRPr="00B27B49">
              <w:rPr>
                <w:rFonts w:ascii="宋体" w:hAnsi="宋体" w:cs="Arial" w:hint="eastAsia"/>
                <w:szCs w:val="21"/>
              </w:rPr>
              <w:tab/>
              <w:t>树脂板门体</w:t>
            </w:r>
          </w:p>
          <w:p w:rsidR="00F26324" w:rsidRPr="00B27B49" w:rsidRDefault="00F26324" w:rsidP="008E5221">
            <w:pPr>
              <w:kinsoku w:val="0"/>
              <w:wordWrap w:val="0"/>
              <w:overflowPunct w:val="0"/>
              <w:autoSpaceDE w:val="0"/>
              <w:autoSpaceDN w:val="0"/>
              <w:jc w:val="left"/>
              <w:rPr>
                <w:rFonts w:ascii="宋体" w:hAnsi="宋体" w:cs="Arial" w:hint="eastAsia"/>
                <w:szCs w:val="21"/>
              </w:rPr>
            </w:pPr>
            <w:r w:rsidRPr="00B27B49">
              <w:rPr>
                <w:rFonts w:ascii="宋体" w:hAnsi="宋体" w:cs="Arial" w:hint="eastAsia"/>
                <w:szCs w:val="21"/>
              </w:rPr>
              <w:t>6.</w:t>
            </w:r>
            <w:r w:rsidRPr="00B27B49">
              <w:rPr>
                <w:rFonts w:ascii="宋体" w:hAnsi="宋体" w:cs="Arial" w:hint="eastAsia"/>
                <w:szCs w:val="21"/>
              </w:rPr>
              <w:tab/>
              <w:t>四面圆弧丝印钢化玻璃视窗，尺寸为400*1600mm</w:t>
            </w:r>
          </w:p>
        </w:tc>
        <w:tc>
          <w:tcPr>
            <w:tcW w:w="1418" w:type="dxa"/>
            <w:vAlign w:val="center"/>
          </w:tcPr>
          <w:p w:rsidR="00F26324" w:rsidRPr="00A9037A" w:rsidRDefault="00F26324" w:rsidP="008E5221">
            <w:pPr>
              <w:kinsoku w:val="0"/>
              <w:overflowPunct w:val="0"/>
              <w:autoSpaceDE w:val="0"/>
              <w:autoSpaceDN w:val="0"/>
              <w:jc w:val="center"/>
              <w:rPr>
                <w:rFonts w:ascii="宋体" w:eastAsia="宋体" w:hAnsi="宋体" w:cs="Times New Roman" w:hint="eastAsia"/>
                <w:b/>
                <w:spacing w:val="-20"/>
                <w:szCs w:val="21"/>
              </w:rPr>
            </w:pPr>
            <w:r>
              <w:rPr>
                <w:rFonts w:ascii="宋体" w:eastAsia="宋体" w:hAnsi="宋体" w:cs="Times New Roman" w:hint="eastAsia"/>
                <w:b/>
                <w:spacing w:val="-20"/>
                <w:szCs w:val="21"/>
              </w:rPr>
              <w:t>1</w:t>
            </w:r>
          </w:p>
        </w:tc>
      </w:tr>
    </w:tbl>
    <w:p w:rsidR="006B453E" w:rsidRDefault="006B453E" w:rsidP="006B453E">
      <w:pPr>
        <w:rPr>
          <w:rFonts w:hint="eastAsia"/>
        </w:rPr>
      </w:pPr>
    </w:p>
    <w:p w:rsidR="006B453E" w:rsidRPr="006B453E" w:rsidRDefault="006B453E" w:rsidP="006B453E">
      <w:pPr>
        <w:rPr>
          <w:sz w:val="24"/>
          <w:szCs w:val="24"/>
        </w:rPr>
      </w:pPr>
      <w:r w:rsidRPr="006B453E">
        <w:rPr>
          <w:rFonts w:hint="eastAsia"/>
          <w:sz w:val="24"/>
          <w:szCs w:val="24"/>
        </w:rPr>
        <w:t>五、基本要求</w:t>
      </w:r>
    </w:p>
    <w:p w:rsidR="006B453E" w:rsidRPr="006B453E" w:rsidRDefault="006B453E" w:rsidP="006B453E">
      <w:pPr>
        <w:rPr>
          <w:sz w:val="24"/>
          <w:szCs w:val="24"/>
        </w:rPr>
      </w:pPr>
      <w:r w:rsidRPr="006B453E">
        <w:rPr>
          <w:rFonts w:hint="eastAsia"/>
          <w:sz w:val="24"/>
          <w:szCs w:val="24"/>
        </w:rPr>
        <w:t>1.</w:t>
      </w:r>
      <w:r w:rsidRPr="006B453E">
        <w:rPr>
          <w:rFonts w:hint="eastAsia"/>
          <w:sz w:val="24"/>
          <w:szCs w:val="24"/>
        </w:rPr>
        <w:t>本招标文件要求中，凡标有“★”的条款为“不允许负偏离的条款”，报价文件对这些条款的任何负偏离，将导致其成为无效报价。</w:t>
      </w:r>
    </w:p>
    <w:p w:rsidR="006B453E" w:rsidRPr="006B453E" w:rsidRDefault="006B453E" w:rsidP="006B453E">
      <w:pPr>
        <w:rPr>
          <w:sz w:val="24"/>
          <w:szCs w:val="24"/>
        </w:rPr>
      </w:pPr>
      <w:r w:rsidRPr="006B453E">
        <w:rPr>
          <w:rFonts w:hint="eastAsia"/>
          <w:sz w:val="24"/>
          <w:szCs w:val="24"/>
        </w:rPr>
        <w:t>2.</w:t>
      </w:r>
      <w:r w:rsidRPr="006B453E">
        <w:rPr>
          <w:rFonts w:hint="eastAsia"/>
          <w:sz w:val="24"/>
          <w:szCs w:val="24"/>
        </w:rPr>
        <w:t>报价人应提供已注册品牌制造商原装、全新的、符合国家及用户提出的有关质量标准的设备。设备在正确安装后，能确保在正常的</w:t>
      </w:r>
      <w:r w:rsidRPr="006B453E">
        <w:rPr>
          <w:rFonts w:hint="eastAsia"/>
          <w:sz w:val="24"/>
          <w:szCs w:val="24"/>
        </w:rPr>
        <w:lastRenderedPageBreak/>
        <w:t>使用过程中安全、可靠，并达到有关规定的要求。设备应符合中国政府颁布的产品、质量、技术、安全标准及环保标准。</w:t>
      </w:r>
    </w:p>
    <w:p w:rsidR="006B453E" w:rsidRPr="006B453E" w:rsidRDefault="006B453E" w:rsidP="006B453E">
      <w:pPr>
        <w:rPr>
          <w:sz w:val="24"/>
          <w:szCs w:val="24"/>
        </w:rPr>
      </w:pPr>
      <w:r w:rsidRPr="006B453E">
        <w:rPr>
          <w:rFonts w:hint="eastAsia"/>
          <w:sz w:val="24"/>
          <w:szCs w:val="24"/>
        </w:rPr>
        <w:t>3.</w:t>
      </w:r>
      <w:r w:rsidRPr="006B453E">
        <w:rPr>
          <w:rFonts w:hint="eastAsia"/>
          <w:sz w:val="24"/>
          <w:szCs w:val="24"/>
        </w:rPr>
        <w:t>所有货物及设计、制造、测试和安装都应符合采购时已颁布的现行中国国家或国家认可的（部颁、行业）标准和国际标准化组织以及等效或更优的其他国家的权威性标准和规范的有关条文。</w:t>
      </w:r>
    </w:p>
    <w:p w:rsidR="006B453E" w:rsidRPr="006B453E" w:rsidRDefault="006B453E" w:rsidP="006B453E">
      <w:pPr>
        <w:rPr>
          <w:sz w:val="24"/>
          <w:szCs w:val="24"/>
        </w:rPr>
      </w:pPr>
      <w:r w:rsidRPr="006B453E">
        <w:rPr>
          <w:rFonts w:hint="eastAsia"/>
          <w:sz w:val="24"/>
          <w:szCs w:val="24"/>
        </w:rPr>
        <w:t>4.</w:t>
      </w:r>
      <w:r w:rsidRPr="006B453E">
        <w:rPr>
          <w:rFonts w:hint="eastAsia"/>
          <w:sz w:val="24"/>
          <w:szCs w:val="24"/>
        </w:rPr>
        <w:t>询价响应须知</w:t>
      </w:r>
    </w:p>
    <w:p w:rsidR="006B453E" w:rsidRPr="006B453E" w:rsidRDefault="006B453E" w:rsidP="006B453E">
      <w:pPr>
        <w:rPr>
          <w:sz w:val="24"/>
          <w:szCs w:val="24"/>
        </w:rPr>
      </w:pPr>
      <w:r w:rsidRPr="006B453E">
        <w:rPr>
          <w:rFonts w:hint="eastAsia"/>
          <w:sz w:val="24"/>
          <w:szCs w:val="24"/>
        </w:rPr>
        <w:t>4.1</w:t>
      </w:r>
      <w:r w:rsidRPr="006B453E">
        <w:rPr>
          <w:rFonts w:hint="eastAsia"/>
          <w:sz w:val="24"/>
          <w:szCs w:val="24"/>
        </w:rPr>
        <w:t>报价人应承担所有与准备和参加询价响应有关的费用。不论询价的结果如何，询价采购单位均无义务和责任承担这些费用。</w:t>
      </w:r>
    </w:p>
    <w:p w:rsidR="006B453E" w:rsidRPr="006B453E" w:rsidRDefault="006B453E" w:rsidP="006B453E">
      <w:pPr>
        <w:rPr>
          <w:sz w:val="24"/>
          <w:szCs w:val="24"/>
        </w:rPr>
      </w:pPr>
      <w:r w:rsidRPr="006B453E">
        <w:rPr>
          <w:rFonts w:hint="eastAsia"/>
          <w:sz w:val="24"/>
          <w:szCs w:val="24"/>
        </w:rPr>
        <w:t>4.2</w:t>
      </w:r>
      <w:r w:rsidRPr="006B453E">
        <w:rPr>
          <w:rFonts w:hint="eastAsia"/>
          <w:sz w:val="24"/>
          <w:szCs w:val="24"/>
        </w:rPr>
        <w:t>报价保证金金额：</w:t>
      </w:r>
      <w:r w:rsidRPr="006B453E">
        <w:rPr>
          <w:rFonts w:hint="eastAsia"/>
          <w:sz w:val="24"/>
          <w:szCs w:val="24"/>
        </w:rPr>
        <w:t>0</w:t>
      </w:r>
      <w:r w:rsidRPr="006B453E">
        <w:rPr>
          <w:rFonts w:hint="eastAsia"/>
          <w:sz w:val="24"/>
          <w:szCs w:val="24"/>
        </w:rPr>
        <w:t>元</w:t>
      </w:r>
      <w:r w:rsidRPr="006B453E">
        <w:rPr>
          <w:rFonts w:hint="eastAsia"/>
          <w:sz w:val="24"/>
          <w:szCs w:val="24"/>
        </w:rPr>
        <w:t xml:space="preserve">  </w:t>
      </w:r>
      <w:r w:rsidRPr="006B453E">
        <w:rPr>
          <w:rFonts w:hint="eastAsia"/>
          <w:sz w:val="24"/>
          <w:szCs w:val="24"/>
        </w:rPr>
        <w:t>。</w:t>
      </w:r>
    </w:p>
    <w:p w:rsidR="006B453E" w:rsidRPr="006B453E" w:rsidRDefault="006B453E" w:rsidP="006B453E">
      <w:pPr>
        <w:rPr>
          <w:sz w:val="24"/>
          <w:szCs w:val="24"/>
        </w:rPr>
      </w:pPr>
      <w:r w:rsidRPr="006B453E">
        <w:rPr>
          <w:rFonts w:hint="eastAsia"/>
          <w:sz w:val="24"/>
          <w:szCs w:val="24"/>
        </w:rPr>
        <w:t xml:space="preserve">4.3 </w:t>
      </w:r>
      <w:r w:rsidRPr="006B453E">
        <w:rPr>
          <w:rFonts w:hint="eastAsia"/>
          <w:sz w:val="24"/>
          <w:szCs w:val="24"/>
        </w:rPr>
        <w:t>报价有效期：询价响应文件应在开标之日起</w:t>
      </w:r>
      <w:r w:rsidRPr="006B453E">
        <w:rPr>
          <w:rFonts w:hint="eastAsia"/>
          <w:sz w:val="24"/>
          <w:szCs w:val="24"/>
        </w:rPr>
        <w:t xml:space="preserve"> 60 </w:t>
      </w:r>
      <w:r w:rsidRPr="006B453E">
        <w:rPr>
          <w:rFonts w:hint="eastAsia"/>
          <w:sz w:val="24"/>
          <w:szCs w:val="24"/>
        </w:rPr>
        <w:t>天内保持有效。报价有效期比规定时间短的将被作为非实质性响应询价文件而予以拒绝。</w:t>
      </w:r>
    </w:p>
    <w:p w:rsidR="006B453E" w:rsidRPr="006B453E" w:rsidRDefault="006B453E" w:rsidP="006B453E">
      <w:pPr>
        <w:rPr>
          <w:sz w:val="24"/>
          <w:szCs w:val="24"/>
        </w:rPr>
      </w:pPr>
      <w:r w:rsidRPr="006B453E">
        <w:rPr>
          <w:rFonts w:hint="eastAsia"/>
          <w:sz w:val="24"/>
          <w:szCs w:val="24"/>
        </w:rPr>
        <w:t xml:space="preserve">4.4 </w:t>
      </w:r>
      <w:r w:rsidRPr="006B453E">
        <w:rPr>
          <w:rFonts w:hint="eastAsia"/>
          <w:sz w:val="24"/>
          <w:szCs w:val="24"/>
        </w:rPr>
        <w:t>询价响应文件的数量和签署</w:t>
      </w:r>
    </w:p>
    <w:p w:rsidR="006B453E" w:rsidRPr="006B453E" w:rsidRDefault="006B453E" w:rsidP="006B453E">
      <w:pPr>
        <w:rPr>
          <w:sz w:val="24"/>
          <w:szCs w:val="24"/>
        </w:rPr>
      </w:pPr>
      <w:r w:rsidRPr="006B453E">
        <w:rPr>
          <w:rFonts w:hint="eastAsia"/>
          <w:sz w:val="24"/>
          <w:szCs w:val="24"/>
        </w:rPr>
        <w:t xml:space="preserve">4.4.1 </w:t>
      </w:r>
      <w:r w:rsidRPr="006B453E">
        <w:rPr>
          <w:rFonts w:hint="eastAsia"/>
          <w:sz w:val="24"/>
          <w:szCs w:val="24"/>
        </w:rPr>
        <w:t>报价供应商应编制询价响应文件一式</w:t>
      </w:r>
      <w:r w:rsidRPr="006B453E">
        <w:rPr>
          <w:rFonts w:hint="eastAsia"/>
          <w:sz w:val="24"/>
          <w:szCs w:val="24"/>
        </w:rPr>
        <w:t xml:space="preserve"> </w:t>
      </w:r>
      <w:r w:rsidRPr="006B453E">
        <w:rPr>
          <w:rFonts w:hint="eastAsia"/>
          <w:sz w:val="24"/>
          <w:szCs w:val="24"/>
        </w:rPr>
        <w:t>三</w:t>
      </w:r>
      <w:r w:rsidRPr="006B453E">
        <w:rPr>
          <w:rFonts w:hint="eastAsia"/>
          <w:sz w:val="24"/>
          <w:szCs w:val="24"/>
        </w:rPr>
        <w:t xml:space="preserve"> </w:t>
      </w:r>
      <w:r w:rsidRPr="006B453E">
        <w:rPr>
          <w:rFonts w:hint="eastAsia"/>
          <w:sz w:val="24"/>
          <w:szCs w:val="24"/>
        </w:rPr>
        <w:t>份，其中正本一份和副本二份，询价响应文件的副本可采用正本的复印件。每套询价响应文件须清楚地标明“正本”、“副本”。若副本与正本不符，以正本为准。</w:t>
      </w:r>
    </w:p>
    <w:p w:rsidR="006B453E" w:rsidRPr="006B453E" w:rsidRDefault="006B453E" w:rsidP="006B453E">
      <w:pPr>
        <w:rPr>
          <w:sz w:val="24"/>
          <w:szCs w:val="24"/>
        </w:rPr>
      </w:pPr>
      <w:r w:rsidRPr="006B453E">
        <w:rPr>
          <w:rFonts w:hint="eastAsia"/>
          <w:sz w:val="24"/>
          <w:szCs w:val="24"/>
        </w:rPr>
        <w:t xml:space="preserve">4.4.2 </w:t>
      </w:r>
      <w:r w:rsidRPr="006B453E">
        <w:rPr>
          <w:rFonts w:hint="eastAsia"/>
          <w:sz w:val="24"/>
          <w:szCs w:val="24"/>
        </w:rPr>
        <w:t>询价响应文件的正本需打印或用不褪色墨水书写，并由法定代表人或经其正式授权的代表签字或加盖私章。授权代表须出具书面授权证明，其《法定代表人授权书》应附在询价响应文件中。</w:t>
      </w:r>
    </w:p>
    <w:p w:rsidR="006B453E" w:rsidRPr="006B453E" w:rsidRDefault="006B453E" w:rsidP="006B453E">
      <w:pPr>
        <w:rPr>
          <w:sz w:val="24"/>
          <w:szCs w:val="24"/>
        </w:rPr>
      </w:pPr>
      <w:r w:rsidRPr="006B453E">
        <w:rPr>
          <w:rFonts w:hint="eastAsia"/>
          <w:sz w:val="24"/>
          <w:szCs w:val="24"/>
        </w:rPr>
        <w:t xml:space="preserve">4.4.3 </w:t>
      </w:r>
      <w:r w:rsidRPr="006B453E">
        <w:rPr>
          <w:rFonts w:hint="eastAsia"/>
          <w:sz w:val="24"/>
          <w:szCs w:val="24"/>
        </w:rPr>
        <w:t>询价响应文件中的任何重要的插字、涂改和增删，必须由法定代表人或经其正式授权的代表在旁边签字或盖私章才有效。</w:t>
      </w:r>
    </w:p>
    <w:p w:rsidR="006B453E" w:rsidRPr="006B453E" w:rsidRDefault="006B453E" w:rsidP="006B453E">
      <w:pPr>
        <w:rPr>
          <w:sz w:val="24"/>
          <w:szCs w:val="24"/>
        </w:rPr>
      </w:pPr>
      <w:r w:rsidRPr="006B453E">
        <w:rPr>
          <w:rFonts w:hint="eastAsia"/>
          <w:sz w:val="24"/>
          <w:szCs w:val="24"/>
        </w:rPr>
        <w:t>4.4..4</w:t>
      </w:r>
      <w:r w:rsidRPr="006B453E">
        <w:rPr>
          <w:rFonts w:hint="eastAsia"/>
          <w:sz w:val="24"/>
          <w:szCs w:val="24"/>
        </w:rPr>
        <w:t>电报、电话、传真形式的询价响应文件概不接受。</w:t>
      </w:r>
    </w:p>
    <w:p w:rsidR="006B453E" w:rsidRPr="006B453E" w:rsidRDefault="006B453E" w:rsidP="006B453E">
      <w:pPr>
        <w:rPr>
          <w:sz w:val="24"/>
          <w:szCs w:val="24"/>
        </w:rPr>
      </w:pPr>
      <w:r w:rsidRPr="006B453E">
        <w:rPr>
          <w:rFonts w:hint="eastAsia"/>
          <w:sz w:val="24"/>
          <w:szCs w:val="24"/>
        </w:rPr>
        <w:t>4.5</w:t>
      </w:r>
      <w:r w:rsidRPr="006B453E">
        <w:rPr>
          <w:rFonts w:hint="eastAsia"/>
          <w:sz w:val="24"/>
          <w:szCs w:val="24"/>
        </w:rPr>
        <w:t>询价响应文件的递交</w:t>
      </w:r>
    </w:p>
    <w:p w:rsidR="006B453E" w:rsidRPr="006B453E" w:rsidRDefault="006B453E" w:rsidP="006B453E">
      <w:pPr>
        <w:rPr>
          <w:sz w:val="24"/>
          <w:szCs w:val="24"/>
        </w:rPr>
      </w:pPr>
      <w:r w:rsidRPr="006B453E">
        <w:rPr>
          <w:rFonts w:hint="eastAsia"/>
          <w:sz w:val="24"/>
          <w:szCs w:val="24"/>
        </w:rPr>
        <w:t xml:space="preserve">4.5.1 </w:t>
      </w:r>
      <w:r w:rsidRPr="006B453E">
        <w:rPr>
          <w:rFonts w:hint="eastAsia"/>
          <w:sz w:val="24"/>
          <w:szCs w:val="24"/>
        </w:rPr>
        <w:t>询价响应文件的密封和标记</w:t>
      </w:r>
    </w:p>
    <w:p w:rsidR="006B453E" w:rsidRPr="006B453E" w:rsidRDefault="006B453E" w:rsidP="006B453E">
      <w:pPr>
        <w:rPr>
          <w:sz w:val="24"/>
          <w:szCs w:val="24"/>
        </w:rPr>
      </w:pPr>
      <w:r w:rsidRPr="006B453E">
        <w:rPr>
          <w:rFonts w:hint="eastAsia"/>
          <w:sz w:val="24"/>
          <w:szCs w:val="24"/>
        </w:rPr>
        <w:t>4.5.2</w:t>
      </w:r>
      <w:r w:rsidRPr="006B453E">
        <w:rPr>
          <w:rFonts w:hint="eastAsia"/>
          <w:sz w:val="24"/>
          <w:szCs w:val="24"/>
        </w:rPr>
        <w:t>报价供应商应将询价响应文件正本和副本用单独的信封密封，注明“正本”或“副本”字样。</w:t>
      </w:r>
    </w:p>
    <w:p w:rsidR="006B453E" w:rsidRPr="006B453E" w:rsidRDefault="006B453E" w:rsidP="006B453E">
      <w:pPr>
        <w:rPr>
          <w:sz w:val="24"/>
          <w:szCs w:val="24"/>
        </w:rPr>
      </w:pPr>
      <w:r w:rsidRPr="006B453E">
        <w:rPr>
          <w:rFonts w:hint="eastAsia"/>
          <w:sz w:val="24"/>
          <w:szCs w:val="24"/>
        </w:rPr>
        <w:t>4.5.3</w:t>
      </w:r>
      <w:r w:rsidRPr="006B453E">
        <w:rPr>
          <w:rFonts w:hint="eastAsia"/>
          <w:sz w:val="24"/>
          <w:szCs w:val="24"/>
        </w:rPr>
        <w:t>每一密封信封均应：</w:t>
      </w:r>
    </w:p>
    <w:p w:rsidR="006B453E" w:rsidRPr="006B453E" w:rsidRDefault="006B453E" w:rsidP="006B453E">
      <w:pPr>
        <w:rPr>
          <w:sz w:val="24"/>
          <w:szCs w:val="24"/>
        </w:rPr>
      </w:pPr>
      <w:r w:rsidRPr="006B453E">
        <w:rPr>
          <w:rFonts w:hint="eastAsia"/>
          <w:sz w:val="24"/>
          <w:szCs w:val="24"/>
        </w:rPr>
        <w:t>（</w:t>
      </w:r>
      <w:r w:rsidRPr="006B453E">
        <w:rPr>
          <w:rFonts w:hint="eastAsia"/>
          <w:sz w:val="24"/>
          <w:szCs w:val="24"/>
        </w:rPr>
        <w:t>1</w:t>
      </w:r>
      <w:r w:rsidRPr="006B453E">
        <w:rPr>
          <w:rFonts w:hint="eastAsia"/>
          <w:sz w:val="24"/>
          <w:szCs w:val="24"/>
        </w:rPr>
        <w:t>）标明采购项目编号、采购项目名称，并注明“正本”或“副本”字样；</w:t>
      </w:r>
    </w:p>
    <w:p w:rsidR="006B453E" w:rsidRPr="006B453E" w:rsidRDefault="006B453E" w:rsidP="006B453E">
      <w:pPr>
        <w:rPr>
          <w:sz w:val="24"/>
          <w:szCs w:val="24"/>
        </w:rPr>
      </w:pPr>
      <w:r w:rsidRPr="006B453E">
        <w:rPr>
          <w:rFonts w:hint="eastAsia"/>
          <w:sz w:val="24"/>
          <w:szCs w:val="24"/>
        </w:rPr>
        <w:t>（</w:t>
      </w:r>
      <w:r w:rsidRPr="006B453E">
        <w:rPr>
          <w:rFonts w:hint="eastAsia"/>
          <w:sz w:val="24"/>
          <w:szCs w:val="24"/>
        </w:rPr>
        <w:t>2</w:t>
      </w:r>
      <w:r w:rsidRPr="006B453E">
        <w:rPr>
          <w:rFonts w:hint="eastAsia"/>
          <w:sz w:val="24"/>
          <w:szCs w:val="24"/>
        </w:rPr>
        <w:t>）注明“于（递交询价响应文件截止时间）之前不准启封”的字样。</w:t>
      </w:r>
    </w:p>
    <w:p w:rsidR="006B453E" w:rsidRPr="006B453E" w:rsidRDefault="006B453E" w:rsidP="006B453E">
      <w:pPr>
        <w:rPr>
          <w:sz w:val="24"/>
          <w:szCs w:val="24"/>
        </w:rPr>
      </w:pPr>
      <w:r w:rsidRPr="006B453E">
        <w:rPr>
          <w:rFonts w:hint="eastAsia"/>
          <w:sz w:val="24"/>
          <w:szCs w:val="24"/>
        </w:rPr>
        <w:t>4.5.4</w:t>
      </w:r>
      <w:r w:rsidRPr="006B453E">
        <w:rPr>
          <w:rFonts w:hint="eastAsia"/>
          <w:sz w:val="24"/>
          <w:szCs w:val="24"/>
        </w:rPr>
        <w:t>如果信封未按本须知要求密封的，采购单位对误投或过早启封概不负责。</w:t>
      </w:r>
    </w:p>
    <w:p w:rsidR="006B453E" w:rsidRPr="006B453E" w:rsidRDefault="006B453E" w:rsidP="006B453E">
      <w:pPr>
        <w:rPr>
          <w:sz w:val="24"/>
          <w:szCs w:val="24"/>
        </w:rPr>
      </w:pPr>
      <w:r w:rsidRPr="006B453E">
        <w:rPr>
          <w:rFonts w:hint="eastAsia"/>
          <w:sz w:val="24"/>
          <w:szCs w:val="24"/>
        </w:rPr>
        <w:t>4.5.5</w:t>
      </w:r>
      <w:r w:rsidRPr="006B453E">
        <w:rPr>
          <w:rFonts w:hint="eastAsia"/>
          <w:sz w:val="24"/>
          <w:szCs w:val="24"/>
        </w:rPr>
        <w:t>询价响应文件未密封的或在递交截止时间后递交的，采购单位将拒绝接收。</w:t>
      </w:r>
    </w:p>
    <w:p w:rsidR="006B453E" w:rsidRPr="006B453E" w:rsidRDefault="006B453E" w:rsidP="006B453E">
      <w:pPr>
        <w:rPr>
          <w:sz w:val="24"/>
          <w:szCs w:val="24"/>
        </w:rPr>
      </w:pPr>
      <w:r w:rsidRPr="006B453E">
        <w:rPr>
          <w:rFonts w:hint="eastAsia"/>
          <w:sz w:val="24"/>
          <w:szCs w:val="24"/>
        </w:rPr>
        <w:t xml:space="preserve">4.6 </w:t>
      </w:r>
      <w:r w:rsidRPr="006B453E">
        <w:rPr>
          <w:rFonts w:hint="eastAsia"/>
          <w:sz w:val="24"/>
          <w:szCs w:val="24"/>
        </w:rPr>
        <w:t>询价响应文件递交</w:t>
      </w:r>
    </w:p>
    <w:p w:rsidR="006B453E" w:rsidRPr="006B453E" w:rsidRDefault="006B453E" w:rsidP="006B453E">
      <w:pPr>
        <w:rPr>
          <w:sz w:val="24"/>
          <w:szCs w:val="24"/>
        </w:rPr>
      </w:pPr>
      <w:r w:rsidRPr="006B453E">
        <w:rPr>
          <w:rFonts w:hint="eastAsia"/>
          <w:sz w:val="24"/>
          <w:szCs w:val="24"/>
        </w:rPr>
        <w:t>4.6.1</w:t>
      </w:r>
      <w:r w:rsidRPr="006B453E">
        <w:rPr>
          <w:rFonts w:hint="eastAsia"/>
          <w:sz w:val="24"/>
          <w:szCs w:val="24"/>
        </w:rPr>
        <w:t>采购单位在询价文件中规定的地点和递交询价响应文件截止时间之前接收询价响应文件，超过截止时点后的询价响应文件将被拒绝。</w:t>
      </w:r>
    </w:p>
    <w:p w:rsidR="006B453E" w:rsidRPr="006B453E" w:rsidRDefault="006B453E" w:rsidP="006B453E">
      <w:pPr>
        <w:rPr>
          <w:sz w:val="24"/>
          <w:szCs w:val="24"/>
        </w:rPr>
      </w:pPr>
      <w:r w:rsidRPr="006B453E">
        <w:rPr>
          <w:rFonts w:hint="eastAsia"/>
          <w:sz w:val="24"/>
          <w:szCs w:val="24"/>
        </w:rPr>
        <w:lastRenderedPageBreak/>
        <w:t xml:space="preserve">4.7 </w:t>
      </w:r>
      <w:r w:rsidRPr="006B453E">
        <w:rPr>
          <w:rFonts w:hint="eastAsia"/>
          <w:sz w:val="24"/>
          <w:szCs w:val="24"/>
        </w:rPr>
        <w:t>询价响应文件的修改和撤回</w:t>
      </w:r>
    </w:p>
    <w:p w:rsidR="006B453E" w:rsidRPr="006B453E" w:rsidRDefault="006B453E" w:rsidP="006B453E">
      <w:pPr>
        <w:rPr>
          <w:sz w:val="24"/>
          <w:szCs w:val="24"/>
        </w:rPr>
      </w:pPr>
      <w:r w:rsidRPr="006B453E">
        <w:rPr>
          <w:rFonts w:hint="eastAsia"/>
          <w:sz w:val="24"/>
          <w:szCs w:val="24"/>
        </w:rPr>
        <w:t xml:space="preserve">4.7.1 </w:t>
      </w:r>
      <w:r w:rsidRPr="006B453E">
        <w:rPr>
          <w:rFonts w:hint="eastAsia"/>
          <w:sz w:val="24"/>
          <w:szCs w:val="24"/>
        </w:rPr>
        <w:t>报价人在递交询价响应文件截止时间前，可以对所递交的询价响应文件进行补充、修改或者撤回，并书面通知招标采购单位。补充、修改的内容应当按询价文件要求签署、盖章，并作为询价响应文件的组成部分；报价供应商在递交询价响应文件后，不得撤回其报价。</w:t>
      </w:r>
    </w:p>
    <w:p w:rsidR="006B453E" w:rsidRDefault="006B453E" w:rsidP="006B453E">
      <w:pPr>
        <w:rPr>
          <w:rFonts w:hint="eastAsia"/>
          <w:sz w:val="24"/>
          <w:szCs w:val="24"/>
        </w:rPr>
      </w:pPr>
      <w:r w:rsidRPr="006B453E">
        <w:rPr>
          <w:rFonts w:hint="eastAsia"/>
          <w:sz w:val="24"/>
          <w:szCs w:val="24"/>
        </w:rPr>
        <w:t>4.7.2</w:t>
      </w:r>
      <w:r w:rsidRPr="006B453E">
        <w:rPr>
          <w:rFonts w:hint="eastAsia"/>
          <w:sz w:val="24"/>
          <w:szCs w:val="24"/>
        </w:rPr>
        <w:t>报价人所提交的询价响应文件在询价结束后，无论成交与否都不退还。</w:t>
      </w:r>
    </w:p>
    <w:p w:rsidR="00F71058" w:rsidRPr="006B453E" w:rsidRDefault="00F71058" w:rsidP="006B453E">
      <w:pPr>
        <w:rPr>
          <w:sz w:val="24"/>
          <w:szCs w:val="24"/>
        </w:rPr>
      </w:pPr>
    </w:p>
    <w:p w:rsidR="006B453E" w:rsidRPr="006B453E" w:rsidRDefault="006B453E" w:rsidP="006B453E">
      <w:pPr>
        <w:rPr>
          <w:sz w:val="24"/>
          <w:szCs w:val="24"/>
        </w:rPr>
      </w:pPr>
      <w:r w:rsidRPr="006B453E">
        <w:rPr>
          <w:rFonts w:hint="eastAsia"/>
          <w:sz w:val="24"/>
          <w:szCs w:val="24"/>
        </w:rPr>
        <w:t>六、交付使用时间及地点</w:t>
      </w:r>
    </w:p>
    <w:p w:rsidR="006B453E" w:rsidRPr="006B453E" w:rsidRDefault="006B453E" w:rsidP="006B453E">
      <w:pPr>
        <w:rPr>
          <w:sz w:val="24"/>
          <w:szCs w:val="24"/>
        </w:rPr>
      </w:pPr>
      <w:r w:rsidRPr="006B453E">
        <w:rPr>
          <w:rFonts w:hint="eastAsia"/>
          <w:sz w:val="24"/>
          <w:szCs w:val="24"/>
        </w:rPr>
        <w:t>1.</w:t>
      </w:r>
      <w:r w:rsidRPr="006B453E">
        <w:rPr>
          <w:rFonts w:hint="eastAsia"/>
          <w:sz w:val="24"/>
          <w:szCs w:val="24"/>
        </w:rPr>
        <w:t>交货时间：合同签订后</w:t>
      </w:r>
      <w:r w:rsidRPr="006B453E">
        <w:rPr>
          <w:rFonts w:hint="eastAsia"/>
          <w:sz w:val="24"/>
          <w:szCs w:val="24"/>
        </w:rPr>
        <w:t xml:space="preserve"> 15</w:t>
      </w:r>
      <w:r w:rsidRPr="006B453E">
        <w:rPr>
          <w:rFonts w:hint="eastAsia"/>
          <w:sz w:val="24"/>
          <w:szCs w:val="24"/>
        </w:rPr>
        <w:t>天内。</w:t>
      </w:r>
    </w:p>
    <w:p w:rsidR="006B453E" w:rsidRDefault="006B453E" w:rsidP="006B453E">
      <w:pPr>
        <w:rPr>
          <w:rFonts w:hint="eastAsia"/>
          <w:sz w:val="24"/>
          <w:szCs w:val="24"/>
        </w:rPr>
      </w:pPr>
      <w:r w:rsidRPr="006B453E">
        <w:rPr>
          <w:rFonts w:hint="eastAsia"/>
          <w:sz w:val="24"/>
          <w:szCs w:val="24"/>
        </w:rPr>
        <w:t>2.</w:t>
      </w:r>
      <w:r w:rsidRPr="006B453E">
        <w:rPr>
          <w:rFonts w:hint="eastAsia"/>
          <w:sz w:val="24"/>
          <w:szCs w:val="24"/>
        </w:rPr>
        <w:t>交货地点：用户指定地点。</w:t>
      </w:r>
    </w:p>
    <w:p w:rsidR="00F71058" w:rsidRPr="006B453E" w:rsidRDefault="00F71058" w:rsidP="006B453E">
      <w:pPr>
        <w:rPr>
          <w:sz w:val="24"/>
          <w:szCs w:val="24"/>
        </w:rPr>
      </w:pPr>
    </w:p>
    <w:p w:rsidR="006B453E" w:rsidRPr="006B453E" w:rsidRDefault="006B453E" w:rsidP="006B453E">
      <w:pPr>
        <w:rPr>
          <w:sz w:val="24"/>
          <w:szCs w:val="24"/>
        </w:rPr>
      </w:pPr>
      <w:r w:rsidRPr="006B453E">
        <w:rPr>
          <w:rFonts w:hint="eastAsia"/>
          <w:sz w:val="24"/>
          <w:szCs w:val="24"/>
        </w:rPr>
        <w:t>七、质量保证和售后服务</w:t>
      </w:r>
    </w:p>
    <w:p w:rsidR="006B453E" w:rsidRPr="006B453E" w:rsidRDefault="006B453E" w:rsidP="006B453E">
      <w:pPr>
        <w:rPr>
          <w:sz w:val="24"/>
          <w:szCs w:val="24"/>
        </w:rPr>
      </w:pPr>
      <w:r w:rsidRPr="006B453E">
        <w:rPr>
          <w:rFonts w:hint="eastAsia"/>
          <w:sz w:val="24"/>
          <w:szCs w:val="24"/>
        </w:rPr>
        <w:t>1.</w:t>
      </w:r>
      <w:r w:rsidRPr="006B453E">
        <w:rPr>
          <w:rFonts w:hint="eastAsia"/>
          <w:sz w:val="24"/>
          <w:szCs w:val="24"/>
        </w:rPr>
        <w:t>设备免费保修期限：验收合格后</w:t>
      </w:r>
      <w:r w:rsidRPr="006B453E">
        <w:rPr>
          <w:rFonts w:hint="eastAsia"/>
          <w:sz w:val="24"/>
          <w:szCs w:val="24"/>
        </w:rPr>
        <w:t>1</w:t>
      </w:r>
      <w:r w:rsidRPr="006B453E">
        <w:rPr>
          <w:rFonts w:hint="eastAsia"/>
          <w:sz w:val="24"/>
          <w:szCs w:val="24"/>
        </w:rPr>
        <w:t>年，保修期自双方代表在货物安装调试后的验收证明文件上签字之日起计算。</w:t>
      </w:r>
    </w:p>
    <w:p w:rsidR="006B453E" w:rsidRPr="006B453E" w:rsidRDefault="006B453E" w:rsidP="006B453E">
      <w:pPr>
        <w:rPr>
          <w:sz w:val="24"/>
          <w:szCs w:val="24"/>
        </w:rPr>
      </w:pPr>
      <w:r w:rsidRPr="006B453E">
        <w:rPr>
          <w:rFonts w:hint="eastAsia"/>
          <w:sz w:val="24"/>
          <w:szCs w:val="24"/>
        </w:rPr>
        <w:t>2.</w:t>
      </w:r>
      <w:r w:rsidRPr="006B453E">
        <w:rPr>
          <w:rFonts w:hint="eastAsia"/>
          <w:sz w:val="24"/>
          <w:szCs w:val="24"/>
        </w:rPr>
        <w:t>质保期内，如货物或零部件因质量原因出现故障而造成短期停用时，则质保期和免费维修期相应顺延。如停用时间累计超过</w:t>
      </w:r>
      <w:r w:rsidRPr="006B453E">
        <w:rPr>
          <w:rFonts w:hint="eastAsia"/>
          <w:sz w:val="24"/>
          <w:szCs w:val="24"/>
        </w:rPr>
        <w:t>60</w:t>
      </w:r>
      <w:r w:rsidRPr="006B453E">
        <w:rPr>
          <w:rFonts w:hint="eastAsia"/>
          <w:sz w:val="24"/>
          <w:szCs w:val="24"/>
        </w:rPr>
        <w:t>天则质保期重新计算。</w:t>
      </w:r>
    </w:p>
    <w:p w:rsidR="006B453E" w:rsidRPr="006B453E" w:rsidRDefault="006B453E" w:rsidP="006B453E">
      <w:pPr>
        <w:rPr>
          <w:sz w:val="24"/>
          <w:szCs w:val="24"/>
        </w:rPr>
      </w:pPr>
      <w:r w:rsidRPr="006B453E">
        <w:rPr>
          <w:rFonts w:hint="eastAsia"/>
          <w:sz w:val="24"/>
          <w:szCs w:val="24"/>
        </w:rPr>
        <w:t>3.</w:t>
      </w:r>
      <w:r w:rsidRPr="006B453E">
        <w:rPr>
          <w:rFonts w:hint="eastAsia"/>
          <w:sz w:val="24"/>
          <w:szCs w:val="24"/>
        </w:rPr>
        <w:t>在保修期内，如货品非因采购人的人为原因而出现的问题由中标人负责包修、包换或包退，并承担修理、调换或退货的实际费用。</w:t>
      </w:r>
    </w:p>
    <w:p w:rsidR="006B453E" w:rsidRPr="006B453E" w:rsidRDefault="006B453E" w:rsidP="006B453E">
      <w:pPr>
        <w:rPr>
          <w:sz w:val="24"/>
          <w:szCs w:val="24"/>
        </w:rPr>
      </w:pPr>
      <w:r w:rsidRPr="006B453E">
        <w:rPr>
          <w:rFonts w:hint="eastAsia"/>
          <w:sz w:val="24"/>
          <w:szCs w:val="24"/>
        </w:rPr>
        <w:t>4.</w:t>
      </w:r>
      <w:r w:rsidRPr="006B453E">
        <w:rPr>
          <w:rFonts w:hint="eastAsia"/>
          <w:sz w:val="24"/>
          <w:szCs w:val="24"/>
        </w:rPr>
        <w:t>保修期内，中标人负责对其提供的货物整机进行维修和系统维护，不再收取任何费用，但非中标人责任的人为因素、自然因素（如火灾、雷击等）造成的故障除外。</w:t>
      </w:r>
    </w:p>
    <w:p w:rsidR="006B453E" w:rsidRPr="006B453E" w:rsidRDefault="006B453E" w:rsidP="006B453E">
      <w:pPr>
        <w:rPr>
          <w:sz w:val="24"/>
          <w:szCs w:val="24"/>
        </w:rPr>
      </w:pPr>
      <w:r w:rsidRPr="006B453E">
        <w:rPr>
          <w:rFonts w:hint="eastAsia"/>
          <w:sz w:val="24"/>
          <w:szCs w:val="24"/>
        </w:rPr>
        <w:t>5.</w:t>
      </w:r>
      <w:r w:rsidRPr="006B453E">
        <w:rPr>
          <w:rFonts w:hint="eastAsia"/>
          <w:sz w:val="24"/>
          <w:szCs w:val="24"/>
        </w:rPr>
        <w:t>货物故障报修的响应时间为</w:t>
      </w:r>
      <w:r w:rsidRPr="006B453E">
        <w:rPr>
          <w:rFonts w:hint="eastAsia"/>
          <w:sz w:val="24"/>
          <w:szCs w:val="24"/>
        </w:rPr>
        <w:t xml:space="preserve"> 2</w:t>
      </w:r>
      <w:r w:rsidRPr="006B453E">
        <w:rPr>
          <w:rFonts w:hint="eastAsia"/>
          <w:sz w:val="24"/>
          <w:szCs w:val="24"/>
        </w:rPr>
        <w:t>小时，且在</w:t>
      </w:r>
      <w:r w:rsidRPr="006B453E">
        <w:rPr>
          <w:rFonts w:hint="eastAsia"/>
          <w:sz w:val="24"/>
          <w:szCs w:val="24"/>
        </w:rPr>
        <w:t xml:space="preserve"> 8</w:t>
      </w:r>
      <w:r w:rsidRPr="006B453E">
        <w:rPr>
          <w:rFonts w:hint="eastAsia"/>
          <w:sz w:val="24"/>
          <w:szCs w:val="24"/>
        </w:rPr>
        <w:t>小时（连同前面时间计算）内处理完毕。规定时间内未处理完毕的，中标人在</w:t>
      </w:r>
      <w:r w:rsidRPr="006B453E">
        <w:rPr>
          <w:rFonts w:hint="eastAsia"/>
          <w:sz w:val="24"/>
          <w:szCs w:val="24"/>
        </w:rPr>
        <w:t>24</w:t>
      </w:r>
      <w:r w:rsidRPr="006B453E">
        <w:rPr>
          <w:rFonts w:hint="eastAsia"/>
          <w:sz w:val="24"/>
          <w:szCs w:val="24"/>
        </w:rPr>
        <w:t>小时内提供不低于同等档次货物供用户使用至故障货物能正常使用为止。</w:t>
      </w:r>
    </w:p>
    <w:p w:rsidR="006B453E" w:rsidRDefault="006B453E" w:rsidP="006B453E">
      <w:pPr>
        <w:rPr>
          <w:rFonts w:hint="eastAsia"/>
          <w:sz w:val="24"/>
          <w:szCs w:val="24"/>
        </w:rPr>
      </w:pPr>
      <w:r w:rsidRPr="006B453E">
        <w:rPr>
          <w:rFonts w:hint="eastAsia"/>
          <w:sz w:val="24"/>
          <w:szCs w:val="24"/>
        </w:rPr>
        <w:t>6.</w:t>
      </w:r>
      <w:r w:rsidRPr="006B453E">
        <w:rPr>
          <w:rFonts w:hint="eastAsia"/>
          <w:sz w:val="24"/>
          <w:szCs w:val="24"/>
        </w:rPr>
        <w:t>保修期间，同一硬件一个月内连续</w:t>
      </w:r>
      <w:r w:rsidRPr="006B453E">
        <w:rPr>
          <w:rFonts w:hint="eastAsia"/>
          <w:sz w:val="24"/>
          <w:szCs w:val="24"/>
        </w:rPr>
        <w:t xml:space="preserve"> 2</w:t>
      </w:r>
      <w:r w:rsidRPr="006B453E">
        <w:rPr>
          <w:rFonts w:hint="eastAsia"/>
          <w:sz w:val="24"/>
          <w:szCs w:val="24"/>
        </w:rPr>
        <w:t>次出现同一故障，中标人须无偿更换同一档次货物。</w:t>
      </w:r>
    </w:p>
    <w:p w:rsidR="00C5771F" w:rsidRPr="006B453E" w:rsidRDefault="00C5771F" w:rsidP="006B453E">
      <w:pPr>
        <w:rPr>
          <w:sz w:val="24"/>
          <w:szCs w:val="24"/>
        </w:rPr>
      </w:pPr>
    </w:p>
    <w:p w:rsidR="006B453E" w:rsidRPr="006B453E" w:rsidRDefault="006B453E" w:rsidP="006B453E">
      <w:pPr>
        <w:rPr>
          <w:sz w:val="24"/>
          <w:szCs w:val="24"/>
        </w:rPr>
      </w:pPr>
      <w:r w:rsidRPr="006B453E">
        <w:rPr>
          <w:rFonts w:hint="eastAsia"/>
          <w:sz w:val="24"/>
          <w:szCs w:val="24"/>
        </w:rPr>
        <w:t>八、评审方法</w:t>
      </w:r>
    </w:p>
    <w:p w:rsidR="006B453E" w:rsidRDefault="006B453E" w:rsidP="006B453E">
      <w:pPr>
        <w:rPr>
          <w:rFonts w:hint="eastAsia"/>
          <w:sz w:val="24"/>
          <w:szCs w:val="24"/>
        </w:rPr>
      </w:pPr>
      <w:r w:rsidRPr="006B453E">
        <w:rPr>
          <w:rFonts w:hint="eastAsia"/>
          <w:sz w:val="24"/>
          <w:szCs w:val="24"/>
        </w:rPr>
        <w:t>参加询价的有效供应商应不少于</w:t>
      </w:r>
      <w:r w:rsidRPr="006B453E">
        <w:rPr>
          <w:rFonts w:hint="eastAsia"/>
          <w:sz w:val="24"/>
          <w:szCs w:val="24"/>
        </w:rPr>
        <w:t>3</w:t>
      </w:r>
      <w:r w:rsidRPr="006B453E">
        <w:rPr>
          <w:rFonts w:hint="eastAsia"/>
          <w:sz w:val="24"/>
          <w:szCs w:val="24"/>
        </w:rPr>
        <w:t>家，在满足用户需求的前提下，按“价低者得”的原则确定成交供应商。</w:t>
      </w:r>
    </w:p>
    <w:p w:rsidR="00C5771F" w:rsidRPr="006B453E" w:rsidRDefault="00C5771F" w:rsidP="006B453E">
      <w:pPr>
        <w:rPr>
          <w:sz w:val="24"/>
          <w:szCs w:val="24"/>
        </w:rPr>
      </w:pPr>
      <w:bookmarkStart w:id="0" w:name="_GoBack"/>
      <w:bookmarkEnd w:id="0"/>
    </w:p>
    <w:p w:rsidR="006B453E" w:rsidRPr="006B453E" w:rsidRDefault="006B453E" w:rsidP="006B453E">
      <w:pPr>
        <w:rPr>
          <w:sz w:val="24"/>
          <w:szCs w:val="24"/>
        </w:rPr>
      </w:pPr>
      <w:r w:rsidRPr="006B453E">
        <w:rPr>
          <w:rFonts w:hint="eastAsia"/>
          <w:sz w:val="24"/>
          <w:szCs w:val="24"/>
        </w:rPr>
        <w:t>九、付款方式</w:t>
      </w:r>
    </w:p>
    <w:p w:rsidR="006B453E" w:rsidRPr="006B453E" w:rsidRDefault="006B453E" w:rsidP="006B453E">
      <w:pPr>
        <w:rPr>
          <w:sz w:val="24"/>
          <w:szCs w:val="24"/>
        </w:rPr>
      </w:pPr>
      <w:r w:rsidRPr="006B453E">
        <w:rPr>
          <w:rFonts w:hint="eastAsia"/>
          <w:sz w:val="24"/>
          <w:szCs w:val="24"/>
        </w:rPr>
        <w:t>1.</w:t>
      </w:r>
      <w:r w:rsidRPr="006B453E">
        <w:rPr>
          <w:rFonts w:hint="eastAsia"/>
          <w:sz w:val="24"/>
          <w:szCs w:val="24"/>
        </w:rPr>
        <w:t>中标人在货款结算时需交纳合同总金额</w:t>
      </w:r>
      <w:r w:rsidRPr="006B453E">
        <w:rPr>
          <w:rFonts w:hint="eastAsia"/>
          <w:sz w:val="24"/>
          <w:szCs w:val="24"/>
        </w:rPr>
        <w:t xml:space="preserve"> 5%</w:t>
      </w:r>
      <w:r w:rsidRPr="006B453E">
        <w:rPr>
          <w:rFonts w:hint="eastAsia"/>
          <w:sz w:val="24"/>
          <w:szCs w:val="24"/>
        </w:rPr>
        <w:t>的保修保证金给采购人，中标人在保修期间能履行保修条款及服务承诺，保修期满，采购</w:t>
      </w:r>
      <w:r w:rsidRPr="006B453E">
        <w:rPr>
          <w:rFonts w:hint="eastAsia"/>
          <w:sz w:val="24"/>
          <w:szCs w:val="24"/>
        </w:rPr>
        <w:lastRenderedPageBreak/>
        <w:t>人即不计利息返还其保修保证金。</w:t>
      </w:r>
    </w:p>
    <w:p w:rsidR="006B453E" w:rsidRPr="006B453E" w:rsidRDefault="006B453E" w:rsidP="006B453E">
      <w:pPr>
        <w:rPr>
          <w:sz w:val="24"/>
          <w:szCs w:val="24"/>
        </w:rPr>
      </w:pPr>
      <w:r w:rsidRPr="006B453E">
        <w:rPr>
          <w:rFonts w:hint="eastAsia"/>
          <w:sz w:val="24"/>
          <w:szCs w:val="24"/>
        </w:rPr>
        <w:t>2.</w:t>
      </w:r>
      <w:r w:rsidRPr="006B453E">
        <w:rPr>
          <w:rFonts w:hint="eastAsia"/>
          <w:sz w:val="24"/>
          <w:szCs w:val="24"/>
        </w:rPr>
        <w:t>中标人货物安装调试完毕并经双方对货物进行验收合格后，开具全额销售发票给采购人，付款按学校财务制度有关规定办理。</w:t>
      </w:r>
    </w:p>
    <w:p w:rsidR="00065B00" w:rsidRPr="006B453E" w:rsidRDefault="00065B00" w:rsidP="00727D75">
      <w:pPr>
        <w:rPr>
          <w:sz w:val="24"/>
          <w:szCs w:val="24"/>
        </w:rPr>
      </w:pPr>
    </w:p>
    <w:sectPr w:rsidR="00065B00" w:rsidRPr="006B453E" w:rsidSect="00685F86">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3A" w:rsidRDefault="00325A3A" w:rsidP="00A565EE">
      <w:r>
        <w:separator/>
      </w:r>
    </w:p>
  </w:endnote>
  <w:endnote w:type="continuationSeparator" w:id="0">
    <w:p w:rsidR="00325A3A" w:rsidRDefault="00325A3A" w:rsidP="00A5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3A" w:rsidRDefault="00325A3A" w:rsidP="00A565EE">
      <w:r>
        <w:separator/>
      </w:r>
    </w:p>
  </w:footnote>
  <w:footnote w:type="continuationSeparator" w:id="0">
    <w:p w:rsidR="00325A3A" w:rsidRDefault="00325A3A" w:rsidP="00A56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CC9C"/>
    <w:multiLevelType w:val="singleLevel"/>
    <w:tmpl w:val="590ACC9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75"/>
    <w:rsid w:val="0003310D"/>
    <w:rsid w:val="00065B00"/>
    <w:rsid w:val="00085AD9"/>
    <w:rsid w:val="00171B5E"/>
    <w:rsid w:val="0023385A"/>
    <w:rsid w:val="00264DC7"/>
    <w:rsid w:val="00325A3A"/>
    <w:rsid w:val="003765BA"/>
    <w:rsid w:val="00376D7C"/>
    <w:rsid w:val="003A4DD1"/>
    <w:rsid w:val="00492159"/>
    <w:rsid w:val="004C01B9"/>
    <w:rsid w:val="004F0536"/>
    <w:rsid w:val="005454C2"/>
    <w:rsid w:val="005D685D"/>
    <w:rsid w:val="00685F86"/>
    <w:rsid w:val="006B453E"/>
    <w:rsid w:val="00727D75"/>
    <w:rsid w:val="008E2A25"/>
    <w:rsid w:val="009B1BAB"/>
    <w:rsid w:val="009E310C"/>
    <w:rsid w:val="00A565EE"/>
    <w:rsid w:val="00A9037A"/>
    <w:rsid w:val="00AA7389"/>
    <w:rsid w:val="00C27CE5"/>
    <w:rsid w:val="00C5771F"/>
    <w:rsid w:val="00C61B51"/>
    <w:rsid w:val="00E36D07"/>
    <w:rsid w:val="00E9073E"/>
    <w:rsid w:val="00F26324"/>
    <w:rsid w:val="00F7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65EE"/>
    <w:rPr>
      <w:sz w:val="18"/>
      <w:szCs w:val="18"/>
    </w:rPr>
  </w:style>
  <w:style w:type="paragraph" w:styleId="a4">
    <w:name w:val="footer"/>
    <w:basedOn w:val="a"/>
    <w:link w:val="Char0"/>
    <w:uiPriority w:val="99"/>
    <w:unhideWhenUsed/>
    <w:rsid w:val="00A565EE"/>
    <w:pPr>
      <w:tabs>
        <w:tab w:val="center" w:pos="4153"/>
        <w:tab w:val="right" w:pos="8306"/>
      </w:tabs>
      <w:snapToGrid w:val="0"/>
      <w:jc w:val="left"/>
    </w:pPr>
    <w:rPr>
      <w:sz w:val="18"/>
      <w:szCs w:val="18"/>
    </w:rPr>
  </w:style>
  <w:style w:type="character" w:customStyle="1" w:styleId="Char0">
    <w:name w:val="页脚 Char"/>
    <w:basedOn w:val="a0"/>
    <w:link w:val="a4"/>
    <w:uiPriority w:val="99"/>
    <w:rsid w:val="00A565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65EE"/>
    <w:rPr>
      <w:sz w:val="18"/>
      <w:szCs w:val="18"/>
    </w:rPr>
  </w:style>
  <w:style w:type="paragraph" w:styleId="a4">
    <w:name w:val="footer"/>
    <w:basedOn w:val="a"/>
    <w:link w:val="Char0"/>
    <w:uiPriority w:val="99"/>
    <w:unhideWhenUsed/>
    <w:rsid w:val="00A565EE"/>
    <w:pPr>
      <w:tabs>
        <w:tab w:val="center" w:pos="4153"/>
        <w:tab w:val="right" w:pos="8306"/>
      </w:tabs>
      <w:snapToGrid w:val="0"/>
      <w:jc w:val="left"/>
    </w:pPr>
    <w:rPr>
      <w:sz w:val="18"/>
      <w:szCs w:val="18"/>
    </w:rPr>
  </w:style>
  <w:style w:type="character" w:customStyle="1" w:styleId="Char0">
    <w:name w:val="页脚 Char"/>
    <w:basedOn w:val="a0"/>
    <w:link w:val="a4"/>
    <w:uiPriority w:val="99"/>
    <w:rsid w:val="00A565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591</Words>
  <Characters>3369</Characters>
  <Application>Microsoft Office Word</Application>
  <DocSecurity>0</DocSecurity>
  <Lines>28</Lines>
  <Paragraphs>7</Paragraphs>
  <ScaleCrop>false</ScaleCrop>
  <Company>Microsoft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33</cp:revision>
  <dcterms:created xsi:type="dcterms:W3CDTF">2018-10-23T02:58:00Z</dcterms:created>
  <dcterms:modified xsi:type="dcterms:W3CDTF">2018-12-21T03:01:00Z</dcterms:modified>
</cp:coreProperties>
</file>